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Leeswijzer en documentregister</w:t>
      </w:r>
    </w:p>
    <w:p>
      <w:pPr>
        <w:spacing w:after="280"/>
      </w:pPr>
      <w:r>
        <w:rPr>
          <w:rFonts w:ascii="Calibri" w:hAnsi="Calibri"/>
          <w:color w:val="5C6A63"/>
          <w:sz w:val="25"/>
        </w:rPr>
        <w:t>Overzicht van de conceptdocumentatie voor ZorgTekstAI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Doel van deze map</w:t>
      </w:r>
    </w:p>
    <w:p>
      <w:r>
        <w:rPr>
          <w:rFonts w:ascii="Calibri" w:hAnsi="Calibri"/>
          <w:color w:val="17221D"/>
        </w:rPr>
        <w:t>Deze map bevat een samenhangende conceptset voor het veilige en verantwoorde gebruik van ZorgTekstAI door zelfstandige huisartsen- en psychologiepraktijken. De documenten ondersteunen de AVG-, informatiebeveiligings- en zorgvuldigheidsverplichtingen, maar vervangen geen praktijkspecifieke juridische beoordeling.</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EAF5EE"/>
            <w:tcBorders>
              <w:top w:val="single" w:sz="2" w:space="0" w:color="EAF5EE"/>
              <w:start w:val="single" w:sz="18" w:space="0" w:color="073E2A"/>
              <w:bottom w:val="single" w:sz="2" w:space="0" w:color="EAF5EE"/>
              <w:end w:val="single" w:sz="2" w:space="0" w:color="EAF5EE"/>
            </w:tcBorders>
          </w:tcPr>
          <w:p>
            <w:pPr>
              <w:spacing w:after="40"/>
            </w:pPr>
            <w:r>
              <w:rPr>
                <w:rFonts w:ascii="Calibri" w:hAnsi="Calibri"/>
                <w:b/>
                <w:color w:val="073E2A"/>
                <w:sz w:val="20"/>
              </w:rPr>
              <w:t>Belangrijk onderscheid</w:t>
            </w:r>
          </w:p>
          <w:p>
            <w:pPr>
              <w:spacing w:after="0"/>
            </w:pPr>
            <w:r>
              <w:rPr>
                <w:rFonts w:ascii="Calibri" w:hAnsi="Calibri"/>
                <w:color w:val="17221D"/>
                <w:sz w:val="19"/>
              </w:rPr>
              <w:t>De map 01 bevat centrale procedures die Marinus den Breejen eenmalig vaststelt en jaarlijks evalueert. De map 02 bevat per praktijk één hoofddocument met genummerde bijlagen. De praktijknaam wordt uitsluitend in het hoofddocument ingevuld; ondertekening daarvan stelt de volledige set vast.</w:t>
            </w:r>
          </w:p>
        </w:tc>
      </w:tr>
    </w:tbl>
    <w:p>
      <w:pPr>
        <w:spacing w:after="20"/>
      </w:pPr>
    </w:p>
    <w:p>
      <w:pPr>
        <w:pStyle w:val="Heading1"/>
      </w:pPr>
      <w:r>
        <w:t>2. Verwerkingsmodel</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Applicatie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Technisch beheerder/verwerker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 Koninginneweg 71a, 3261 CB Oud-Beijerland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Praktijk</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Verwerkingsverantwoordelijke voor patiënt- en zorginhoud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Subverwerker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Scaleway SAS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Authenticatie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Google OAuth; uitsluitend account- en authenticatiemetadata</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Optioneel internetzoeken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Brave Search; uitsluitend algemene zoektermen zonder persoonsgegevens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Inhoudsopslag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Geen reguliere opslag van documenten, prompts, antwoorden, audio of transcripties</w:t>
            </w:r>
          </w:p>
        </w:tc>
      </w:tr>
    </w:tbl>
    <w:p>
      <w:pPr>
        <w:spacing w:after="20"/>
      </w:pPr>
    </w:p>
    <w:p>
      <w:pPr>
        <w:pStyle w:val="Heading1"/>
      </w:pPr>
      <w:r>
        <w:t>3. Documentregister</w:t>
      </w:r>
    </w:p>
    <w:tbl>
      <w:tblPr>
        <w:tblW w:type="dxa" w:w="9360"/>
        <w:jc w:val="left"/>
        <w:tblLayout w:type="fixed"/>
        <w:tblLook w:firstColumn="1" w:firstRow="1" w:lastColumn="0" w:lastRow="0" w:noHBand="0" w:noVBand="1" w:val="04A0"/>
        <w:tblInd w:w="120" w:type="dxa"/>
      </w:tblPr>
      <w:tblGrid>
        <w:gridCol w:w="700"/>
        <w:gridCol w:w="4700"/>
        <w:gridCol w:w="1700"/>
        <w:gridCol w:w="2260"/>
      </w:tblGrid>
      <w:tr>
        <w:tc>
          <w:tcPr>
            <w:tcW w:type="dxa" w:w="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Nr.</w:t>
            </w:r>
          </w:p>
        </w:tc>
        <w:tc>
          <w:tcPr>
            <w:tcW w:type="dxa" w:w="4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Document</w:t>
            </w:r>
          </w:p>
        </w:tc>
        <w:tc>
          <w:tcPr>
            <w:tcW w:type="dxa" w:w="1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Niveau</w:t>
            </w:r>
          </w:p>
        </w:tc>
        <w:tc>
          <w:tcPr>
            <w:tcW w:type="dxa" w:w="22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Moment</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01</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AI-gebruiksprocedure</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02</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Incident-, datalek- en AI-foutenprocedure</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03</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Leveranciers- en contractcontroleprocedure</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04</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Periodieke evaluatie- en wijzigingsprocedure</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05</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Procedure audio-opname, download en verwijdering</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06</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Beheer-, toegangs- en auditprocedure</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Centraal</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Jaarlijks</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00</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Hoofddocument praktijkdossier en gezamenlijke vaststelling</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01</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DPIA</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 en bij wijziging</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02</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AVG-grondslagen en verwerkingsregister</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03</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Scaleway-contractdossier</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04</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Toelatingsformulier applicatie</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05</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Beoogd gebruik en MDR/AI-classificatie</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06</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Risicoanalyse AI-chat en internetzoeken</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07</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Lokale rollen, sessies en vertrouwde apparaten</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08</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Privacyverklaring/addendum voor patiënten</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09</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Lokale incident- en contactgegevens</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ingebruikname</w:t>
            </w:r>
          </w:p>
        </w:tc>
      </w:tr>
      <w:tr>
        <w:tc>
          <w:tcPr>
            <w:tcW w:type="dxa" w:w="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10</w:t>
            </w:r>
          </w:p>
        </w:tc>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Implementatie- en risicoacceptatieverklaring</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Go-live</w:t>
            </w:r>
          </w:p>
        </w:tc>
      </w:tr>
      <w:tr>
        <w:tc>
          <w:tcPr>
            <w:tcW w:type="dxa" w:w="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11</w:t>
            </w:r>
          </w:p>
        </w:tc>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Verwerkersvoorwaarden</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Bijlage per praktijk</w:t>
            </w:r>
          </w:p>
        </w:tc>
        <w:tc>
          <w:tcPr>
            <w:tcW w:type="dxa" w:w="22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Voor verwerking</w:t>
            </w:r>
          </w:p>
        </w:tc>
      </w:tr>
    </w:tbl>
    <w:p>
      <w:pPr>
        <w:spacing w:after="20"/>
      </w:pPr>
    </w:p>
    <w:p>
      <w:pPr>
        <w:pStyle w:val="Heading1"/>
      </w:pPr>
      <w:r>
        <w:t>4. Invulinstructie per praktijk</w:t>
      </w:r>
    </w:p>
    <w:p>
      <w:pPr>
        <w:pStyle w:val="ListNumber"/>
        <w:spacing w:after="100"/>
        <w:ind w:left="720" w:hanging="360"/>
      </w:pPr>
      <w:r>
        <w:rPr>
          <w:rFonts w:ascii="Calibri" w:hAnsi="Calibri"/>
          <w:color w:val="17221D"/>
        </w:rPr>
        <w:t>Vul de naam en identificatiegegevens van de praktijk alleen in document 00 in.</w:t>
      </w:r>
    </w:p>
    <w:p>
      <w:pPr>
        <w:pStyle w:val="ListNumber"/>
        <w:spacing w:after="100"/>
        <w:ind w:left="720" w:hanging="360"/>
      </w:pPr>
      <w:r>
        <w:rPr>
          <w:rFonts w:ascii="Calibri" w:hAnsi="Calibri"/>
          <w:color w:val="17221D"/>
        </w:rPr>
        <w:t>Vul de overige openstaande velden in het hoofddocument en de genummerde bijlagen in.</w:t>
      </w:r>
    </w:p>
    <w:p>
      <w:pPr>
        <w:pStyle w:val="ListNumber"/>
        <w:spacing w:after="100"/>
        <w:ind w:left="720" w:hanging="360"/>
      </w:pPr>
      <w:r>
        <w:rPr>
          <w:rFonts w:ascii="Calibri" w:hAnsi="Calibri"/>
          <w:color w:val="17221D"/>
        </w:rPr>
        <w:t>Controleer of de feitelijke technische inrichting overeenkomt met de beschrijving.</w:t>
      </w:r>
    </w:p>
    <w:p>
      <w:pPr>
        <w:pStyle w:val="ListNumber"/>
        <w:spacing w:after="100"/>
        <w:ind w:left="720" w:hanging="360"/>
      </w:pPr>
      <w:r>
        <w:rPr>
          <w:rFonts w:ascii="Calibri" w:hAnsi="Calibri"/>
          <w:color w:val="17221D"/>
        </w:rPr>
        <w:t>Laat de bestuurder het hoofddocument ondertekenen; daarmee worden alle vermelde bijlagen vastgesteld.</w:t>
      </w:r>
    </w:p>
    <w:p>
      <w:pPr>
        <w:pStyle w:val="ListNumber"/>
        <w:spacing w:after="100"/>
        <w:ind w:left="720" w:hanging="360"/>
      </w:pPr>
      <w:r>
        <w:rPr>
          <w:rFonts w:ascii="Calibri" w:hAnsi="Calibri"/>
          <w:color w:val="17221D"/>
        </w:rPr>
        <w:t>Laat ook Marinus den Breejen ondertekenen, omdat bijlage 11 verwerkersvoorwaarden bevat.</w:t>
      </w:r>
    </w:p>
    <w:p>
      <w:pPr>
        <w:pStyle w:val="ListNumber"/>
        <w:spacing w:after="100"/>
        <w:ind w:left="720" w:hanging="360"/>
      </w:pPr>
      <w:r>
        <w:rPr>
          <w:rFonts w:ascii="Calibri" w:hAnsi="Calibri"/>
          <w:color w:val="17221D"/>
        </w:rPr>
        <w:t>Bewaar het ondertekende hoofddocument samen met de bijlagen in het privacy- en informatiebeveiligingsdossier.</w:t>
      </w:r>
    </w:p>
    <w:p>
      <w:pPr>
        <w:pStyle w:val="ListNumber"/>
        <w:spacing w:after="100"/>
        <w:ind w:left="720" w:hanging="360"/>
      </w:pPr>
      <w:r>
        <w:rPr>
          <w:rFonts w:ascii="Calibri" w:hAnsi="Calibri"/>
          <w:color w:val="17221D"/>
        </w:rPr>
        <w:t>Herbeoordeel de set bij een materiële wijziging en in ieder geval jaarlijks.</w:t>
      </w:r>
    </w:p>
    <w:p>
      <w:pPr>
        <w:pStyle w:val="Heading1"/>
      </w:pPr>
      <w:r>
        <w:t>5. Bekende uitgangspunten</w:t>
      </w:r>
    </w:p>
    <w:p>
      <w:pPr>
        <w:pStyle w:val="ListBullet"/>
        <w:spacing w:after="80"/>
        <w:ind w:left="720" w:hanging="360"/>
      </w:pPr>
      <w:r>
        <w:rPr>
          <w:rFonts w:ascii="Calibri" w:hAnsi="Calibri"/>
          <w:color w:val="17221D"/>
        </w:rPr>
        <w:t>Patiëntinhoud wordt tijdens een aanvraag verwerkt via Scaleway Generative APIs in Parijs.</w:t>
      </w:r>
    </w:p>
    <w:p>
      <w:pPr>
        <w:pStyle w:val="ListBullet"/>
        <w:spacing w:after="80"/>
        <w:ind w:left="720" w:hanging="360"/>
      </w:pPr>
      <w:r>
        <w:rPr>
          <w:rFonts w:ascii="Calibri" w:hAnsi="Calibri"/>
          <w:color w:val="17221D"/>
        </w:rPr>
        <w:t>De webapp draait op Scaleway Serverless Containers in Amsterdam.</w:t>
      </w:r>
    </w:p>
    <w:p>
      <w:pPr>
        <w:pStyle w:val="ListBullet"/>
        <w:spacing w:after="80"/>
        <w:ind w:left="720" w:hanging="360"/>
      </w:pPr>
      <w:r>
        <w:rPr>
          <w:rFonts w:ascii="Calibri" w:hAnsi="Calibri"/>
          <w:color w:val="17221D"/>
        </w:rPr>
        <w:t>Templates, bronnenlijsten, gehashte gebruikstellers en inhoudsvrije auditmetadata staan versleuteld in Object Storage in Amsterdam.</w:t>
      </w:r>
    </w:p>
    <w:p>
      <w:pPr>
        <w:pStyle w:val="ListBullet"/>
        <w:spacing w:after="80"/>
        <w:ind w:left="720" w:hanging="360"/>
      </w:pPr>
      <w:r>
        <w:rPr>
          <w:rFonts w:ascii="Calibri" w:hAnsi="Calibri"/>
          <w:color w:val="17221D"/>
        </w:rPr>
        <w:t>Scaleway hanteert voor Generative APIs standaard Zero Data Retention, met een uitzonderlijke requestopslag van maximaal twee weken bij specifieke fouten of vermoed misbruik.</w:t>
      </w:r>
    </w:p>
    <w:p>
      <w:pPr>
        <w:pStyle w:val="ListBullet"/>
        <w:spacing w:after="80"/>
        <w:ind w:left="720" w:hanging="360"/>
      </w:pPr>
      <w:r>
        <w:rPr>
          <w:rFonts w:ascii="Calibri" w:hAnsi="Calibri"/>
          <w:color w:val="17221D"/>
        </w:rPr>
        <w:t>Ieder resultaat blijft zichtbaar een AI-concept; ZorgTekstAI kent geen functie waarmee een resultaat als inhoudelijk beoordeeld wordt geregistreerd.</w:t>
      </w:r>
    </w:p>
    <w:p>
      <w:pPr>
        <w:pStyle w:val="ListBullet"/>
        <w:spacing w:after="80"/>
        <w:ind w:left="720" w:hanging="360"/>
      </w:pPr>
      <w:r>
        <w:rPr>
          <w:rFonts w:ascii="Calibri" w:hAnsi="Calibri"/>
          <w:color w:val="17221D"/>
        </w:rPr>
        <w:t>Internetzoeken is een afzonderlijke route. Bij inschakeling mogen geen persoonsgegevens in de zoekvraag of context staan.</w:t>
      </w:r>
    </w:p>
    <w:p>
      <w:pPr>
        <w:pStyle w:val="ListBullet"/>
        <w:spacing w:after="80"/>
        <w:ind w:left="720" w:hanging="360"/>
      </w:pPr>
      <w:r>
        <w:rPr>
          <w:rFonts w:ascii="Calibri" w:hAnsi="Calibri"/>
          <w:color w:val="17221D"/>
        </w:rPr>
        <w:t>De gewone idle-time-out is beleidsmatig 20 minuten. De verklaring voor een vertrouwd apparaat legt verantwoordelijkheid voor de lokale vergrendeling bij gebruiker en praktijk.</w:t>
      </w:r>
    </w:p>
    <w:p>
      <w:pPr>
        <w:pStyle w:val="ListBullet"/>
        <w:spacing w:after="80"/>
        <w:ind w:left="720" w:hanging="360"/>
      </w:pPr>
      <w:r>
        <w:rPr>
          <w:rFonts w:ascii="Calibri" w:hAnsi="Calibri"/>
          <w:color w:val="17221D"/>
        </w:rPr>
        <w:t>Alleen marinusdenbreejen@gmail.com is technisch beheerder en kan het inhoudsvrije auditoverzicht openen.</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vragen over NEN 7510</w:t>
        </w:r>
      </w:hyperlink>
    </w:p>
    <w:p>
      <w:pPr>
        <w:pStyle w:val="ListBullet"/>
        <w:ind w:left="720" w:hanging="360"/>
      </w:pPr>
      <w:hyperlink r:id="rId14">
        <w:r>
          <w:rPr>
            <w:color w:val="1155CC"/>
            <w:u w:val="single"/>
          </w:rPr>
          <w:t>IGJ - zorgvuldig omgaan met generatieve AI in de zorg</w:t>
        </w:r>
      </w:hyperlink>
    </w:p>
    <w:p>
      <w:pPr>
        <w:pStyle w:val="ListBullet"/>
        <w:ind w:left="720" w:hanging="360"/>
      </w:pPr>
      <w:hyperlink r:id="rId15">
        <w:r>
          <w:rPr>
            <w:color w:val="1155CC"/>
            <w:u w:val="single"/>
          </w:rPr>
          <w:t>KNMG - AI voor verslaglegging van patiëntgesprekken</w:t>
        </w:r>
      </w:hyperlink>
    </w:p>
    <w:p>
      <w:pPr>
        <w:pStyle w:val="ListBullet"/>
        <w:ind w:left="720" w:hanging="360"/>
      </w:pPr>
      <w:hyperlink r:id="rId16">
        <w:r>
          <w:rPr>
            <w:color w:val="1155CC"/>
            <w:u w:val="single"/>
          </w:rPr>
          <w:t>Scaleway - contracten en voorwaarden</w:t>
        </w:r>
      </w:hyperlink>
    </w:p>
    <w:p>
      <w:pPr>
        <w:pStyle w:val="ListBullet"/>
        <w:ind w:left="720" w:hanging="360"/>
      </w:pPr>
      <w:hyperlink r:id="rId17">
        <w:r>
          <w:rPr>
            <w:color w:val="1155CC"/>
            <w:u w:val="single"/>
          </w:rPr>
          <w:t>Scaleway Generative APIs - gegevensbescherming</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Leeswijzer en documentregister</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vraag-en-antwoord/vragen-over-nen-7510" TargetMode="External"/><Relationship Id="rId14" Type="http://schemas.openxmlformats.org/officeDocument/2006/relationships/hyperlink" Target="https://www.igj.nl/documenten/2025/02/10/igj-roept-zorgaanbieders-op-ga-zorgvuldig-om-met-invoering-van-generatieve-ai-toepassingen" TargetMode="External"/><Relationship Id="rId15" Type="http://schemas.openxmlformats.org/officeDocument/2006/relationships/hyperlink" Target="https://www.knmg.nl/ik-ben-arts/praktijkdilemmas-1/praktijkdilemma/waar-moet-ik-aan-denken-als-ik-ai-wil-gebruiken-voor-de-verslaglegging-van-patientgesprekken" TargetMode="External"/><Relationship Id="rId16" Type="http://schemas.openxmlformats.org/officeDocument/2006/relationships/hyperlink" Target="https://www.scaleway.com/en/contracts/" TargetMode="External"/><Relationship Id="rId17" Type="http://schemas.openxmlformats.org/officeDocument/2006/relationships/hyperlink" Target="https://www.scaleway.com/en/docs/generative-apis/reference-content/data-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