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AI-gebruiksprocedure</w:t>
      </w:r>
    </w:p>
    <w:p>
      <w:pPr>
        <w:spacing w:after="280"/>
      </w:pPr>
      <w:r>
        <w:rPr>
          <w:rFonts w:ascii="Calibri" w:hAnsi="Calibri"/>
          <w:color w:val="5C6A63"/>
          <w:sz w:val="25"/>
        </w:rPr>
        <w:t>Toegestaan en zorgvuldig gebruik van ZorgTekstAI</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Dit document is een bewerkbaar concept. De betrokken praktijk moet de invulvelden aanpassen, de feitelijke inrichting controleren en het document laten goedkeuren door de bevoegde bestuurder. Waar passend is beoordeling door een privacy- of juridisch deskundige aanbevolen.</w:t>
            </w:r>
          </w:p>
        </w:tc>
      </w:tr>
    </w:tbl>
    <w:p>
      <w:pPr>
        <w:spacing w:after="20"/>
      </w:pPr>
    </w:p>
    <w:p>
      <w:pPr>
        <w:pStyle w:val="Heading1"/>
      </w:pPr>
      <w:r>
        <w:t>1. Doel en reikwijdte</w:t>
      </w:r>
    </w:p>
    <w:p>
      <w:r>
        <w:rPr>
          <w:rFonts w:ascii="Calibri" w:hAnsi="Calibri"/>
          <w:color w:val="17221D"/>
        </w:rPr>
        <w:t>Deze procedure beschrijft hoe bevoegde huisartsen en psychologen ZorgTekstAI gebruiken voor administratieve ondersteuning en informatievoorziening. Zij geldt voor tekstverwerking, samenvatting, transcriptie, conceptcorrespondentie, algemene chat, bronraadpleging en optioneel internetzoeken.</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EAF5EE"/>
            <w:tcBorders>
              <w:top w:val="single" w:sz="2" w:space="0" w:color="EAF5EE"/>
              <w:start w:val="single" w:sz="18" w:space="0" w:color="073E2A"/>
              <w:bottom w:val="single" w:sz="2" w:space="0" w:color="EAF5EE"/>
              <w:end w:val="single" w:sz="2" w:space="0" w:color="EAF5EE"/>
            </w:tcBorders>
          </w:tcPr>
          <w:p>
            <w:pPr>
              <w:spacing w:after="40"/>
            </w:pPr>
            <w:r>
              <w:rPr>
                <w:rFonts w:ascii="Calibri" w:hAnsi="Calibri"/>
                <w:b/>
                <w:color w:val="073E2A"/>
                <w:sz w:val="20"/>
              </w:rPr>
              <w:t>Vast gebruiksdoel</w:t>
            </w:r>
          </w:p>
          <w:p>
            <w:pPr>
              <w:spacing w:after="0"/>
            </w:pPr>
            <w:r>
              <w:rPr>
                <w:rFonts w:ascii="Calibri" w:hAnsi="Calibri"/>
                <w:color w:val="17221D"/>
                <w:sz w:val="19"/>
              </w:rPr>
              <w:t>ZorgTekstAI is niet bedoeld voor diagnose, triage, behandeladvies, voorschrijven of zelfstandige klinische besluitvorming. Iedere uitkomst is een AI-concept. De zorgprofessional controleert, corrigeert en beslist.</w:t>
            </w:r>
          </w:p>
        </w:tc>
      </w:tr>
    </w:tbl>
    <w:p>
      <w:pPr>
        <w:spacing w:after="20"/>
      </w:pPr>
    </w:p>
    <w:p>
      <w:pPr>
        <w:pStyle w:val="Heading1"/>
      </w:pPr>
      <w:r>
        <w:t>2. Rollen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Praktijkbestuurder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Besluit over toelating, gebruiksvoorwaarden en risicoacceptatie.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Zorgprofessional</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Voert alleen noodzakelijke gegevens in en controleert iedere uitkomst.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Marinus den Breejen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Bouwt en beheert de techniek; heeft geen reguliere toegang tot patiëntinhoud.</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Scaleway</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Verwerkt inhoud technisch als subverwerker binnen de beschreven EU-route.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Beheerder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Uitsluitend marinusdenbreejen@gmail.com; beheert toegang, openbare configuratie en inhoudsvrije audit.</w:t>
            </w:r>
          </w:p>
        </w:tc>
      </w:tr>
    </w:tbl>
    <w:p>
      <w:pPr>
        <w:spacing w:after="20"/>
      </w:pPr>
    </w:p>
    <w:p>
      <w:pPr>
        <w:pStyle w:val="Heading1"/>
      </w:pPr>
      <w:r>
        <w:t>3. Toegestaan gebruik</w:t>
      </w:r>
    </w:p>
    <w:p>
      <w:pPr>
        <w:pStyle w:val="ListBullet"/>
        <w:spacing w:after="80"/>
        <w:ind w:left="720" w:hanging="360"/>
      </w:pPr>
      <w:r>
        <w:rPr>
          <w:rFonts w:ascii="Calibri" w:hAnsi="Calibri"/>
          <w:color w:val="17221D"/>
        </w:rPr>
        <w:t>Transcriberen van een gesprek nadat alle aanwezigen zijn geïnformeerd en toestemming hebben gegeven.</w:t>
      </w:r>
    </w:p>
    <w:p>
      <w:pPr>
        <w:pStyle w:val="ListBullet"/>
        <w:spacing w:after="80"/>
        <w:ind w:left="720" w:hanging="360"/>
      </w:pPr>
      <w:r>
        <w:rPr>
          <w:rFonts w:ascii="Calibri" w:hAnsi="Calibri"/>
          <w:color w:val="17221D"/>
        </w:rPr>
        <w:t>Samenvatten of structureren van bestaande notities en correspondentie.</w:t>
      </w:r>
    </w:p>
    <w:p>
      <w:pPr>
        <w:pStyle w:val="ListBullet"/>
        <w:spacing w:after="80"/>
        <w:ind w:left="720" w:hanging="360"/>
      </w:pPr>
      <w:r>
        <w:rPr>
          <w:rFonts w:ascii="Calibri" w:hAnsi="Calibri"/>
          <w:color w:val="17221D"/>
        </w:rPr>
        <w:t>Opstellen van conceptbrieven, conceptverslagen en conceptintakedocumenten.</w:t>
      </w:r>
    </w:p>
    <w:p>
      <w:pPr>
        <w:pStyle w:val="ListBullet"/>
        <w:spacing w:after="80"/>
        <w:ind w:left="720" w:hanging="360"/>
      </w:pPr>
      <w:r>
        <w:rPr>
          <w:rFonts w:ascii="Calibri" w:hAnsi="Calibri"/>
          <w:color w:val="17221D"/>
        </w:rPr>
        <w:t>Verbeteren van taal, opbouw en leesbaarheid zonder de inhoudelijke betekenis te wijzigen.</w:t>
      </w:r>
    </w:p>
    <w:p>
      <w:pPr>
        <w:pStyle w:val="ListBullet"/>
        <w:spacing w:after="80"/>
        <w:ind w:left="720" w:hanging="360"/>
      </w:pPr>
      <w:r>
        <w:rPr>
          <w:rFonts w:ascii="Calibri" w:hAnsi="Calibri"/>
          <w:color w:val="17221D"/>
        </w:rPr>
        <w:t>Raadplegen van algemene klinische informatie en bronmateriaal.</w:t>
      </w:r>
    </w:p>
    <w:p>
      <w:pPr>
        <w:pStyle w:val="ListBullet"/>
        <w:spacing w:after="80"/>
        <w:ind w:left="720" w:hanging="360"/>
      </w:pPr>
      <w:r>
        <w:rPr>
          <w:rFonts w:ascii="Calibri" w:hAnsi="Calibri"/>
          <w:color w:val="17221D"/>
        </w:rPr>
        <w:t>Verwerken van namen wanneer dit noodzakelijk is voor het juiste intakedocument; overige identificatoren alleen als zij noodzakelijk zijn.</w:t>
      </w:r>
    </w:p>
    <w:p>
      <w:pPr>
        <w:pStyle w:val="Heading1"/>
      </w:pPr>
      <w:r>
        <w:t>4. Niet toegestaan gebruik</w:t>
      </w:r>
    </w:p>
    <w:p>
      <w:pPr>
        <w:pStyle w:val="ListBullet"/>
        <w:spacing w:after="80"/>
        <w:ind w:left="720" w:hanging="360"/>
      </w:pPr>
      <w:r>
        <w:rPr>
          <w:rFonts w:ascii="Calibri" w:hAnsi="Calibri"/>
          <w:color w:val="17221D"/>
        </w:rPr>
        <w:t>De AI-uitkomst zonder controle als definitief dossierstuk, diagnose, behandeladvies of patiëntbericht gebruiken.</w:t>
      </w:r>
    </w:p>
    <w:p>
      <w:pPr>
        <w:pStyle w:val="ListBullet"/>
        <w:spacing w:after="80"/>
        <w:ind w:left="720" w:hanging="360"/>
      </w:pPr>
      <w:r>
        <w:rPr>
          <w:rFonts w:ascii="Calibri" w:hAnsi="Calibri"/>
          <w:color w:val="17221D"/>
        </w:rPr>
        <w:t>ZorgTekstAI laten bepalen of acute hulp, dwang, opname, medicatie of een specifieke behandeling nodig is.</w:t>
      </w:r>
    </w:p>
    <w:p>
      <w:pPr>
        <w:pStyle w:val="ListBullet"/>
        <w:spacing w:after="80"/>
        <w:ind w:left="720" w:hanging="360"/>
      </w:pPr>
      <w:r>
        <w:rPr>
          <w:rFonts w:ascii="Calibri" w:hAnsi="Calibri"/>
          <w:color w:val="17221D"/>
        </w:rPr>
        <w:t>Persoonsgegevens invoeren terwijl internetzoeken via Brave is ingeschakeld.</w:t>
      </w:r>
    </w:p>
    <w:p>
      <w:pPr>
        <w:pStyle w:val="ListBullet"/>
        <w:spacing w:after="80"/>
        <w:ind w:left="720" w:hanging="360"/>
      </w:pPr>
      <w:r>
        <w:rPr>
          <w:rFonts w:ascii="Calibri" w:hAnsi="Calibri"/>
          <w:color w:val="17221D"/>
        </w:rPr>
        <w:t>BSN, adres, privételefoonnummer of privé-e-mailadres invoeren wanneer deze niet noodzakelijk zijn.</w:t>
      </w:r>
    </w:p>
    <w:p>
      <w:pPr>
        <w:pStyle w:val="ListBullet"/>
        <w:spacing w:after="80"/>
        <w:ind w:left="720" w:hanging="360"/>
      </w:pPr>
      <w:r>
        <w:rPr>
          <w:rFonts w:ascii="Calibri" w:hAnsi="Calibri"/>
          <w:color w:val="17221D"/>
        </w:rPr>
        <w:t>Patiëntinhoud opnemen in templates, bronnenlijsten, foutmeldingen, supportberichten of openbare configuratie.</w:t>
      </w:r>
    </w:p>
    <w:p>
      <w:pPr>
        <w:pStyle w:val="ListBullet"/>
        <w:spacing w:after="80"/>
        <w:ind w:left="720" w:hanging="360"/>
      </w:pPr>
      <w:r>
        <w:rPr>
          <w:rFonts w:ascii="Calibri" w:hAnsi="Calibri"/>
          <w:color w:val="17221D"/>
        </w:rPr>
        <w:t>Een AI-uitkomst presenteren alsof deze door de applicatie inhoudelijk is gevalideerd.</w:t>
      </w:r>
    </w:p>
    <w:p>
      <w:pPr>
        <w:pStyle w:val="Heading1"/>
      </w:pPr>
      <w:r>
        <w:t>5. Werkproces zonder internetzoeken</w:t>
      </w:r>
    </w:p>
    <w:p>
      <w:pPr>
        <w:pStyle w:val="ListNumber"/>
        <w:spacing w:after="100"/>
        <w:ind w:left="720" w:hanging="360"/>
      </w:pPr>
      <w:r>
        <w:rPr>
          <w:rFonts w:ascii="Calibri" w:hAnsi="Calibri"/>
          <w:color w:val="17221D"/>
        </w:rPr>
        <w:t>Controleer of ZorgTekstAI voor de taak is toegestaan en of de gegevens noodzakelijk zijn.</w:t>
      </w:r>
    </w:p>
    <w:p>
      <w:pPr>
        <w:pStyle w:val="ListNumber"/>
        <w:spacing w:after="100"/>
        <w:ind w:left="720" w:hanging="360"/>
      </w:pPr>
      <w:r>
        <w:rPr>
          <w:rFonts w:ascii="Calibri" w:hAnsi="Calibri"/>
          <w:color w:val="17221D"/>
        </w:rPr>
        <w:t>Controleer dat internetzoeken uit staat. Patiëntinhoud gaat dan alleen via de contractuele Scaleway-AI-route in Parijs; dit is geen lokaal model op het apparaat.</w:t>
      </w:r>
    </w:p>
    <w:p>
      <w:pPr>
        <w:pStyle w:val="ListNumber"/>
        <w:spacing w:after="100"/>
        <w:ind w:left="720" w:hanging="360"/>
      </w:pPr>
      <w:r>
        <w:rPr>
          <w:rFonts w:ascii="Calibri" w:hAnsi="Calibri"/>
          <w:color w:val="17221D"/>
        </w:rPr>
        <w:t>Voer de bron in en laat de gewenste concepttekst maken.</w:t>
      </w:r>
    </w:p>
    <w:p>
      <w:pPr>
        <w:pStyle w:val="ListNumber"/>
        <w:spacing w:after="100"/>
        <w:ind w:left="720" w:hanging="360"/>
      </w:pPr>
      <w:r>
        <w:rPr>
          <w:rFonts w:ascii="Calibri" w:hAnsi="Calibri"/>
          <w:color w:val="17221D"/>
        </w:rPr>
        <w:t>Vergelijk het concept met de oorspronkelijke bron.</w:t>
      </w:r>
    </w:p>
    <w:p>
      <w:pPr>
        <w:pStyle w:val="ListNumber"/>
        <w:spacing w:after="100"/>
        <w:ind w:left="720" w:hanging="360"/>
      </w:pPr>
      <w:r>
        <w:rPr>
          <w:rFonts w:ascii="Calibri" w:hAnsi="Calibri"/>
          <w:color w:val="17221D"/>
        </w:rPr>
        <w:t>Controleer minimaal identiteit, medicatie, dosering, allergieën, afspraken, negaties, tijdlijnen en onzekerheden voor zover relevant.</w:t>
      </w:r>
    </w:p>
    <w:p>
      <w:pPr>
        <w:pStyle w:val="ListNumber"/>
        <w:spacing w:after="100"/>
        <w:ind w:left="720" w:hanging="360"/>
      </w:pPr>
      <w:r>
        <w:rPr>
          <w:rFonts w:ascii="Calibri" w:hAnsi="Calibri"/>
          <w:color w:val="17221D"/>
        </w:rPr>
        <w:t>Corrigeer en vul aan. Neem alleen de noodzakelijke, gecontroleerde tekst op in het reguliere dossier.</w:t>
      </w:r>
    </w:p>
    <w:p>
      <w:pPr>
        <w:pStyle w:val="ListNumber"/>
        <w:spacing w:after="100"/>
        <w:ind w:left="720" w:hanging="360"/>
      </w:pPr>
      <w:r>
        <w:rPr>
          <w:rFonts w:ascii="Calibri" w:hAnsi="Calibri"/>
          <w:color w:val="17221D"/>
        </w:rPr>
        <w:t>Sluit of vernieuw de pagina wanneer de tijdelijke inhoud niet meer nodig is.</w:t>
      </w:r>
    </w:p>
    <w:p>
      <w:pPr>
        <w:pStyle w:val="Heading1"/>
      </w:pPr>
      <w:r>
        <w:t>6. Werkproces met internetzoeken</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CE8E6"/>
            <w:tcBorders>
              <w:top w:val="single" w:sz="2" w:space="0" w:color="FCE8E6"/>
              <w:start w:val="single" w:sz="18" w:space="0" w:color="8C1D18"/>
              <w:bottom w:val="single" w:sz="2" w:space="0" w:color="FCE8E6"/>
              <w:end w:val="single" w:sz="2" w:space="0" w:color="FCE8E6"/>
            </w:tcBorders>
          </w:tcPr>
          <w:p>
            <w:pPr>
              <w:spacing w:after="40"/>
            </w:pPr>
            <w:r>
              <w:rPr>
                <w:rFonts w:ascii="Calibri" w:hAnsi="Calibri"/>
                <w:b/>
                <w:color w:val="8C1D18"/>
                <w:sz w:val="20"/>
              </w:rPr>
              <w:t>Strikte scheiding</w:t>
            </w:r>
          </w:p>
          <w:p>
            <w:pPr>
              <w:spacing w:after="0"/>
            </w:pPr>
            <w:r>
              <w:rPr>
                <w:rFonts w:ascii="Calibri" w:hAnsi="Calibri"/>
                <w:color w:val="17221D"/>
                <w:sz w:val="19"/>
              </w:rPr>
              <w:t>Bij internetzoeken mag de zoekvraag, gesprekshistorie en context geen naam, medische informatie of andere persoonsgegevens bevatten. De gebruiker moet dit vóór ieder gebruik expliciet bevestigen.</w:t>
            </w:r>
          </w:p>
        </w:tc>
      </w:tr>
    </w:tbl>
    <w:p>
      <w:pPr>
        <w:spacing w:after="20"/>
      </w:pPr>
    </w:p>
    <w:p>
      <w:pPr>
        <w:pStyle w:val="ListNumber"/>
        <w:spacing w:after="100"/>
        <w:ind w:left="720" w:hanging="360"/>
      </w:pPr>
      <w:r>
        <w:rPr>
          <w:rFonts w:ascii="Calibri" w:hAnsi="Calibri"/>
          <w:color w:val="17221D"/>
        </w:rPr>
        <w:t>Gebruik internetzoeken uitsluitend voor een algemene professionele of klinische vraag.</w:t>
      </w:r>
    </w:p>
    <w:p>
      <w:pPr>
        <w:pStyle w:val="ListNumber"/>
        <w:spacing w:after="100"/>
        <w:ind w:left="720" w:hanging="360"/>
      </w:pPr>
      <w:r>
        <w:rPr>
          <w:rFonts w:ascii="Calibri" w:hAnsi="Calibri"/>
          <w:color w:val="17221D"/>
        </w:rPr>
        <w:t>Verwijder namen, casusdetails, zeldzame combinaties en andere herleidbare kenmerken uit de vraag en context.</w:t>
      </w:r>
    </w:p>
    <w:p>
      <w:pPr>
        <w:pStyle w:val="ListNumber"/>
        <w:spacing w:after="100"/>
        <w:ind w:left="720" w:hanging="360"/>
      </w:pPr>
      <w:r>
        <w:rPr>
          <w:rFonts w:ascii="Calibri" w:hAnsi="Calibri"/>
          <w:color w:val="17221D"/>
        </w:rPr>
        <w:t>Bevestig expliciet dat de zoekgegevens geen persoonsgegevens bevatten en dat de zoekterm naar Brave gaat.</w:t>
      </w:r>
    </w:p>
    <w:p>
      <w:pPr>
        <w:pStyle w:val="ListNumber"/>
        <w:spacing w:after="100"/>
        <w:ind w:left="720" w:hanging="360"/>
      </w:pPr>
      <w:r>
        <w:rPr>
          <w:rFonts w:ascii="Calibri" w:hAnsi="Calibri"/>
          <w:color w:val="17221D"/>
        </w:rPr>
        <w:t>Controleer bron, auteur, datum, toepassingsgebied en mogelijke belangen van iedere gevonden bron.</w:t>
      </w:r>
    </w:p>
    <w:p>
      <w:pPr>
        <w:pStyle w:val="ListNumber"/>
        <w:spacing w:after="100"/>
        <w:ind w:left="720" w:hanging="360"/>
      </w:pPr>
      <w:r>
        <w:rPr>
          <w:rFonts w:ascii="Calibri" w:hAnsi="Calibri"/>
          <w:color w:val="17221D"/>
        </w:rPr>
        <w:t>Behandel zoekresultaten en AI-synthese alleen als bronmateriaal; neem geen conclusie over zonder professionele beoordeling.</w:t>
      </w:r>
    </w:p>
    <w:p>
      <w:pPr>
        <w:pStyle w:val="Heading1"/>
      </w:pPr>
      <w:r>
        <w:t>7. Menselijke controle</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oorspronkelijke bron is geraadpleegd.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juiste patiëntidentiteit is gebruikt.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Feiten en tijdlijn zijn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Medicatie, doseringen, allergieën en contra-indicaties zijn gecontroleerd indien relevant.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Negaties en onzekerheden zijn behouden.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Afspraken en verantwoordelijkheden zijn juist weergegeven.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Niet-noodzakelijke informatie is verwijderd.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tekst is passend voor het gekozen dossier- of communicatiedoel.</w:t>
            </w:r>
          </w:p>
        </w:tc>
      </w:tr>
    </w:tbl>
    <w:p>
      <w:pPr>
        <w:spacing w:after="20"/>
      </w:pPr>
    </w:p>
    <w:p>
      <w:pPr>
        <w:pStyle w:val="Heading1"/>
      </w:pPr>
      <w:r>
        <w:t>8. AI-geletterdheid en training</w:t>
      </w:r>
    </w:p>
    <w:p>
      <w:r>
        <w:rPr>
          <w:rFonts w:ascii="Calibri" w:hAnsi="Calibri"/>
          <w:color w:val="17221D"/>
        </w:rPr>
        <w:t>Iedere gebruiker krijgt vóór toegang uitleg over probabilistische output, hallucinaties, bias, broncontrole, privacy, beroepsgeheim, internetzoeken, audio en incidentmelding. De praktijk houdt aantoonbaar bij wie deze instructie heeft ontvangen. De instructie wordt na materiële wijzigingen herhaald.</w:t>
      </w:r>
    </w:p>
    <w:p>
      <w:pPr>
        <w:pStyle w:val="Heading1"/>
      </w:pPr>
      <w:r>
        <w:t>9. Afwijkingen en incidenten</w:t>
      </w:r>
    </w:p>
    <w:p>
      <w:r>
        <w:rPr>
          <w:rFonts w:ascii="Calibri" w:hAnsi="Calibri"/>
          <w:color w:val="17221D"/>
        </w:rPr>
        <w:t>Stop bij onverwachte persoonsgegevens in een internetzoekvraag, een verkeerde patiëntcontext, ongeautoriseerde toegang of een mogelijk schadelijke AI-uitkomst. Bewaar geen patiëntinhoud in een supportmelding. Meld het incident direct via marinusdenbreejen@gmail.com en volg de incidentprocedure.</w:t>
      </w: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Europese Commissie - AI-geletterdheid</w:t>
        </w:r>
      </w:hyperlink>
    </w:p>
    <w:p>
      <w:pPr>
        <w:pStyle w:val="ListBullet"/>
        <w:ind w:left="720" w:hanging="360"/>
      </w:pPr>
      <w:hyperlink r:id="rId14">
        <w:r>
          <w:rPr>
            <w:color w:val="1155CC"/>
            <w:u w:val="single"/>
          </w:rPr>
          <w:t>IGJ - zorgvuldig omgaan met generatieve AI in de zorg</w:t>
        </w:r>
      </w:hyperlink>
    </w:p>
    <w:p>
      <w:pPr>
        <w:pStyle w:val="ListBullet"/>
        <w:ind w:left="720" w:hanging="360"/>
      </w:pPr>
      <w:hyperlink r:id="rId15">
        <w:r>
          <w:rPr>
            <w:color w:val="1155CC"/>
            <w:u w:val="single"/>
          </w:rPr>
          <w:t>KNMG - AI voor verslaglegging van patiëntgesprekken</w:t>
        </w:r>
      </w:hyperlink>
    </w:p>
    <w:p>
      <w:pPr>
        <w:pStyle w:val="ListBullet"/>
        <w:ind w:left="720" w:hanging="360"/>
      </w:pPr>
      <w:hyperlink r:id="rId16">
        <w:r>
          <w:rPr>
            <w:color w:val="1155CC"/>
            <w:u w:val="single"/>
          </w:rPr>
          <w:t>Scaleway Generative APIs - gegevensbescherming</w:t>
        </w:r>
      </w:hyperlink>
    </w:p>
    <w:p>
      <w:pPr>
        <w:pStyle w:val="ListBullet"/>
        <w:ind w:left="720" w:hanging="360"/>
      </w:pPr>
      <w:hyperlink r:id="rId17">
        <w:r>
          <w:rPr>
            <w:color w:val="1155CC"/>
            <w:u w:val="single"/>
          </w:rPr>
          <w:t>Brave Search API Privacy Notice</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AI-gebruiksprocedure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digital-strategy.ec.europa.eu/en/faqs/ai-literacy-questions-answers" TargetMode="External"/><Relationship Id="rId14" Type="http://schemas.openxmlformats.org/officeDocument/2006/relationships/hyperlink" Target="https://www.igj.nl/documenten/2025/02/10/igj-roept-zorgaanbieders-op-ga-zorgvuldig-om-met-invoering-van-generatieve-ai-toepassingen" TargetMode="External"/><Relationship Id="rId15" Type="http://schemas.openxmlformats.org/officeDocument/2006/relationships/hyperlink" Target="https://www.knmg.nl/ik-ben-arts/praktijkdilemmas-1/praktijkdilemma/waar-moet-ik-aan-denken-als-ik-ai-wil-gebruiken-voor-de-verslaglegging-van-patientgesprekken" TargetMode="External"/><Relationship Id="rId16" Type="http://schemas.openxmlformats.org/officeDocument/2006/relationships/hyperlink" Target="https://www.scaleway.com/en/docs/generative-apis/reference-content/data-privacy/" TargetMode="External"/><Relationship Id="rId17" Type="http://schemas.openxmlformats.org/officeDocument/2006/relationships/hyperlink" Target="https://api-dashboard.search.brave.com/privacy-poli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