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80"/>
        <w:jc w:val="left"/>
      </w:pPr>
      <w:r>
        <w:drawing>
          <wp:inline xmlns:a="http://schemas.openxmlformats.org/drawingml/2006/main" xmlns:pic="http://schemas.openxmlformats.org/drawingml/2006/picture">
            <wp:extent cx="2423160" cy="749476"/>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1"/>
                    <a:stretch>
                      <a:fillRect/>
                    </a:stretch>
                  </pic:blipFill>
                  <pic:spPr>
                    <a:xfrm>
                      <a:off x="0" y="0"/>
                      <a:ext cx="2423160" cy="749476"/>
                    </a:xfrm>
                    <a:prstGeom prst="rect"/>
                  </pic:spPr>
                </pic:pic>
              </a:graphicData>
            </a:graphic>
          </wp:inline>
        </w:drawing>
      </w:r>
    </w:p>
    <w:p>
      <w:pPr>
        <w:spacing w:after="40"/>
      </w:pPr>
      <w:r>
        <w:rPr>
          <w:rFonts w:ascii="Calibri" w:hAnsi="Calibri"/>
          <w:b/>
          <w:color w:val="6E5100"/>
          <w:sz w:val="18"/>
        </w:rPr>
        <w:t>CONCEPT - TER BEOORDELING</w:t>
      </w:r>
    </w:p>
    <w:p>
      <w:pPr>
        <w:spacing w:after="60"/>
      </w:pPr>
      <w:r>
        <w:rPr>
          <w:rFonts w:ascii="Calibri" w:hAnsi="Calibri"/>
          <w:b/>
          <w:color w:val="073E2A"/>
          <w:sz w:val="48"/>
        </w:rPr>
        <w:t>Incident-, datalek- en AI-foutenprocedure</w:t>
      </w:r>
    </w:p>
    <w:p>
      <w:pPr>
        <w:spacing w:after="280"/>
      </w:pPr>
      <w:r>
        <w:rPr>
          <w:rFonts w:ascii="Calibri" w:hAnsi="Calibri"/>
          <w:color w:val="5C6A63"/>
          <w:sz w:val="25"/>
        </w:rPr>
        <w:t>Herkennen, beperken, beoordelen en opvolgen</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Documenteigenaar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Marinus den Breejen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Versie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0.1</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Datum concept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2026</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Volgende beoordeling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2027</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Status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CONCEPT - ter beoordeling</w:t>
            </w:r>
          </w:p>
        </w:tc>
      </w:tr>
    </w:tbl>
    <w:p>
      <w:pPr>
        <w:spacing w:after="2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FF4D6"/>
            <w:tcBorders>
              <w:top w:val="single" w:sz="2" w:space="0" w:color="FFF4D6"/>
              <w:start w:val="single" w:sz="18" w:space="0" w:color="6E5100"/>
              <w:bottom w:val="single" w:sz="2" w:space="0" w:color="FFF4D6"/>
              <w:end w:val="single" w:sz="2" w:space="0" w:color="FFF4D6"/>
            </w:tcBorders>
          </w:tcPr>
          <w:p>
            <w:pPr>
              <w:spacing w:after="40"/>
            </w:pPr>
            <w:r>
              <w:rPr>
                <w:rFonts w:ascii="Calibri" w:hAnsi="Calibri"/>
                <w:b/>
                <w:color w:val="6E5100"/>
                <w:sz w:val="20"/>
              </w:rPr>
              <w:t>Conceptstatus</w:t>
            </w:r>
          </w:p>
          <w:p>
            <w:pPr>
              <w:spacing w:after="0"/>
            </w:pPr>
            <w:r>
              <w:rPr>
                <w:rFonts w:ascii="Calibri" w:hAnsi="Calibri"/>
                <w:color w:val="17221D"/>
                <w:sz w:val="19"/>
              </w:rPr>
              <w:t>Dit document is een bewerkbaar concept. De betrokken praktijk moet de invulvelden aanpassen, de feitelijke inrichting controleren en het document laten goedkeuren door de bevoegde bestuurder. Waar passend is beoordeling door een privacy- of juridisch deskundige aanbevolen.</w:t>
            </w:r>
          </w:p>
        </w:tc>
      </w:tr>
    </w:tbl>
    <w:p>
      <w:pPr>
        <w:spacing w:after="20"/>
      </w:pPr>
    </w:p>
    <w:p>
      <w:pPr>
        <w:pStyle w:val="Heading1"/>
      </w:pPr>
      <w:r>
        <w:t>1. Uitgangspunt</w:t>
      </w:r>
    </w:p>
    <w:p>
      <w:r>
        <w:rPr>
          <w:rFonts w:ascii="Calibri" w:hAnsi="Calibri"/>
          <w:color w:val="17221D"/>
        </w:rPr>
        <w:t>ZorgTekstAI slaat patiëntinhoud niet regulier op. Dit beperkt het risico, maar sluit een incident niet uit. Een inbreuk kan plaatsvinden tijdens live verwerking, verzending, authenticatie, tijdelijke verwerking, downloaden, uitzonderlijke debugopslag of onjuist internetzoeken.</w:t>
      </w:r>
    </w:p>
    <w:p>
      <w:pPr>
        <w:pStyle w:val="Heading1"/>
      </w:pPr>
      <w:r>
        <w:t>2. Typen gebeurtenissen</w:t>
      </w:r>
    </w:p>
    <w:tbl>
      <w:tblPr>
        <w:tblW w:type="dxa" w:w="9360"/>
        <w:jc w:val="left"/>
        <w:tblLayout w:type="fixed"/>
        <w:tblLook w:firstColumn="1" w:firstRow="1" w:lastColumn="0" w:lastRow="0" w:noHBand="0" w:noVBand="1" w:val="04A0"/>
        <w:tblInd w:w="120" w:type="dxa"/>
      </w:tblPr>
      <w:tblGrid>
        <w:gridCol w:w="1600"/>
        <w:gridCol w:w="5200"/>
        <w:gridCol w:w="2560"/>
      </w:tblGrid>
      <w:tr>
        <w:tc>
          <w:tcPr>
            <w:tcW w:type="dxa" w:w="16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Type</w:t>
            </w:r>
          </w:p>
        </w:tc>
        <w:tc>
          <w:tcPr>
            <w:tcW w:type="dxa" w:w="52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Voorbeelden</w:t>
            </w:r>
          </w:p>
        </w:tc>
        <w:tc>
          <w:tcPr>
            <w:tcW w:type="dxa" w:w="256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Eerste eigenaar</w:t>
            </w:r>
          </w:p>
        </w:tc>
      </w:tr>
      <w:tr>
        <w:tc>
          <w:tcPr>
            <w:tcW w:type="dxa" w:w="16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Privacy/inbreuk</w:t>
            </w:r>
          </w:p>
        </w:tc>
        <w:tc>
          <w:tcPr>
            <w:tcW w:type="dxa" w:w="52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Patiëntgegevens in Brave; verkeerde ontvanger; ongeautoriseerde sessie.</w:t>
            </w:r>
          </w:p>
        </w:tc>
        <w:tc>
          <w:tcPr>
            <w:tcW w:type="dxa" w:w="25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Praktijk</w:t>
            </w:r>
          </w:p>
        </w:tc>
      </w:tr>
      <w:tr>
        <w:tc>
          <w:tcPr>
            <w:tcW w:type="dxa" w:w="16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Beveiliging</w:t>
            </w:r>
          </w:p>
        </w:tc>
        <w:tc>
          <w:tcPr>
            <w:tcW w:type="dxa" w:w="52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Gestolen account, uitgelekte sleutel, misbruik, verdachte login.</w:t>
            </w:r>
          </w:p>
        </w:tc>
        <w:tc>
          <w:tcPr>
            <w:tcW w:type="dxa" w:w="25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Marinus + praktijk</w:t>
            </w:r>
          </w:p>
        </w:tc>
      </w:tr>
      <w:tr>
        <w:tc>
          <w:tcPr>
            <w:tcW w:type="dxa" w:w="16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AI-kwaliteit</w:t>
            </w:r>
          </w:p>
        </w:tc>
        <w:tc>
          <w:tcPr>
            <w:tcW w:type="dxa" w:w="52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Verzonnen feit, gemiste negatie, foutieve medicatie of verkeerde patiënt.</w:t>
            </w:r>
          </w:p>
        </w:tc>
        <w:tc>
          <w:tcPr>
            <w:tcW w:type="dxa" w:w="25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Praktijk</w:t>
            </w:r>
          </w:p>
        </w:tc>
      </w:tr>
      <w:tr>
        <w:tc>
          <w:tcPr>
            <w:tcW w:type="dxa" w:w="16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Beschikbaarheid</w:t>
            </w:r>
          </w:p>
        </w:tc>
        <w:tc>
          <w:tcPr>
            <w:tcW w:type="dxa" w:w="52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AI of applicatie niet beschikbaar; werkproces onderbroken.</w:t>
            </w:r>
          </w:p>
        </w:tc>
        <w:tc>
          <w:tcPr>
            <w:tcW w:type="dxa" w:w="25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Marinus</w:t>
            </w:r>
          </w:p>
        </w:tc>
      </w:tr>
      <w:tr>
        <w:tc>
          <w:tcPr>
            <w:tcW w:type="dxa" w:w="16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Leverancier</w:t>
            </w:r>
          </w:p>
        </w:tc>
        <w:tc>
          <w:tcPr>
            <w:tcW w:type="dxa" w:w="52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Wijziging locatie, bewaartermijn, subverwerker of contract.</w:t>
            </w:r>
          </w:p>
        </w:tc>
        <w:tc>
          <w:tcPr>
            <w:tcW w:type="dxa" w:w="25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Marinus</w:t>
            </w:r>
          </w:p>
        </w:tc>
      </w:tr>
    </w:tbl>
    <w:p>
      <w:pPr>
        <w:spacing w:after="20"/>
      </w:pPr>
    </w:p>
    <w:p>
      <w:pPr>
        <w:pStyle w:val="Heading1"/>
      </w:pPr>
      <w:r>
        <w:t>3. Meldroute</w:t>
      </w:r>
    </w:p>
    <w:p>
      <w:pPr>
        <w:pStyle w:val="ListNumber"/>
        <w:spacing w:after="100"/>
        <w:ind w:left="720" w:hanging="360"/>
      </w:pPr>
      <w:r>
        <w:rPr>
          <w:rFonts w:ascii="Calibri" w:hAnsi="Calibri"/>
          <w:color w:val="17221D"/>
        </w:rPr>
        <w:t>Stop de betreffende handeling en voorkom verdere verspreiding.</w:t>
      </w:r>
    </w:p>
    <w:p>
      <w:pPr>
        <w:pStyle w:val="ListNumber"/>
        <w:spacing w:after="100"/>
        <w:ind w:left="720" w:hanging="360"/>
      </w:pPr>
      <w:r>
        <w:rPr>
          <w:rFonts w:ascii="Calibri" w:hAnsi="Calibri"/>
          <w:color w:val="17221D"/>
        </w:rPr>
        <w:t>Meld onmiddellijk, bij voorkeur binnen vier uur, aan de lokale contactpersoon en aan marinusdenbreejen@gmail.com.</w:t>
      </w:r>
    </w:p>
    <w:p>
      <w:pPr>
        <w:pStyle w:val="ListNumber"/>
        <w:spacing w:after="100"/>
        <w:ind w:left="720" w:hanging="360"/>
      </w:pPr>
      <w:r>
        <w:rPr>
          <w:rFonts w:ascii="Calibri" w:hAnsi="Calibri"/>
          <w:color w:val="17221D"/>
        </w:rPr>
        <w:t>Gebruik in de melding een intern incidentnummer; stuur geen patiëntinhoud per onbeveiligde e-mail.</w:t>
      </w:r>
    </w:p>
    <w:p>
      <w:pPr>
        <w:pStyle w:val="ListNumber"/>
        <w:spacing w:after="100"/>
        <w:ind w:left="720" w:hanging="360"/>
      </w:pPr>
      <w:r>
        <w:rPr>
          <w:rFonts w:ascii="Calibri" w:hAnsi="Calibri"/>
          <w:color w:val="17221D"/>
        </w:rPr>
        <w:t>Leg tijdstip, systeem, handeling, betrokken gegevenscategorieën, mogelijke ontvangers en genomen maatregelen vast.</w:t>
      </w:r>
    </w:p>
    <w:p>
      <w:pPr>
        <w:pStyle w:val="ListNumber"/>
        <w:spacing w:after="100"/>
        <w:ind w:left="720" w:hanging="360"/>
      </w:pPr>
      <w:r>
        <w:rPr>
          <w:rFonts w:ascii="Calibri" w:hAnsi="Calibri"/>
          <w:color w:val="17221D"/>
        </w:rPr>
        <w:t>De praktijk beoordeelt als verwerkingsverantwoordelijke of sprake is van een inbreuk en of melding aan AP en betrokkenen nodig is.</w:t>
      </w:r>
    </w:p>
    <w:p>
      <w:pPr>
        <w:pStyle w:val="ListNumber"/>
        <w:spacing w:after="100"/>
        <w:ind w:left="720" w:hanging="360"/>
      </w:pPr>
      <w:r>
        <w:rPr>
          <w:rFonts w:ascii="Calibri" w:hAnsi="Calibri"/>
          <w:color w:val="17221D"/>
        </w:rPr>
        <w:t>Marinus onderzoekt de techniek, bewaart noodzakelijke inhoudsvrije bewijzen en informeert de praktijk zonder onredelijke vertraging.</w:t>
      </w:r>
    </w:p>
    <w:p>
      <w:pPr>
        <w:pStyle w:val="Heading1"/>
      </w:pPr>
      <w:r>
        <w:t>4. Eerste beheersmaatregelen</w:t>
      </w:r>
    </w:p>
    <w:p>
      <w:pPr>
        <w:pStyle w:val="ListBullet"/>
        <w:spacing w:after="80"/>
        <w:ind w:left="720" w:hanging="360"/>
      </w:pPr>
      <w:r>
        <w:rPr>
          <w:rFonts w:ascii="Calibri" w:hAnsi="Calibri"/>
          <w:color w:val="17221D"/>
        </w:rPr>
        <w:t>Sessie beëindigen, gebruiker blokkeren of API-sleutel intrekken.</w:t>
      </w:r>
    </w:p>
    <w:p>
      <w:pPr>
        <w:pStyle w:val="ListBullet"/>
        <w:spacing w:after="80"/>
        <w:ind w:left="720" w:hanging="360"/>
      </w:pPr>
      <w:r>
        <w:rPr>
          <w:rFonts w:ascii="Calibri" w:hAnsi="Calibri"/>
          <w:color w:val="17221D"/>
        </w:rPr>
        <w:t>Internetzoeken uitschakelen wanneer persoonsgegevens mogelijk naar Brave zijn gegaan.</w:t>
      </w:r>
    </w:p>
    <w:p>
      <w:pPr>
        <w:pStyle w:val="ListBullet"/>
        <w:spacing w:after="80"/>
        <w:ind w:left="720" w:hanging="360"/>
      </w:pPr>
      <w:r>
        <w:rPr>
          <w:rFonts w:ascii="Calibri" w:hAnsi="Calibri"/>
          <w:color w:val="17221D"/>
        </w:rPr>
        <w:t>Gedownload bestand veiligstellen of verwijderen volgens instructie van de praktijk.</w:t>
      </w:r>
    </w:p>
    <w:p>
      <w:pPr>
        <w:pStyle w:val="ListBullet"/>
        <w:spacing w:after="80"/>
        <w:ind w:left="720" w:hanging="360"/>
      </w:pPr>
      <w:r>
        <w:rPr>
          <w:rFonts w:ascii="Calibri" w:hAnsi="Calibri"/>
          <w:color w:val="17221D"/>
        </w:rPr>
        <w:t>Geen patiëntinhoud kopiëren naar algemene logs, chat, tickets of screenshots.</w:t>
      </w:r>
    </w:p>
    <w:p>
      <w:pPr>
        <w:pStyle w:val="ListBullet"/>
        <w:spacing w:after="80"/>
        <w:ind w:left="720" w:hanging="360"/>
      </w:pPr>
      <w:r>
        <w:rPr>
          <w:rFonts w:ascii="Calibri" w:hAnsi="Calibri"/>
          <w:color w:val="17221D"/>
        </w:rPr>
        <w:t>Relevante tijdstippen en inhoudsvrije auditgebeurtenissen veiligstellen.</w:t>
      </w:r>
    </w:p>
    <w:p>
      <w:pPr>
        <w:pStyle w:val="ListBullet"/>
        <w:spacing w:after="80"/>
        <w:ind w:left="720" w:hanging="360"/>
      </w:pPr>
      <w:r>
        <w:rPr>
          <w:rFonts w:ascii="Calibri" w:hAnsi="Calibri"/>
          <w:color w:val="17221D"/>
        </w:rPr>
        <w:t>Bij een onjuiste dossieruitkomst: dossier corrigeren en beoordelen of patiëntveiligheidsopvolging nodig is.</w:t>
      </w:r>
    </w:p>
    <w:p>
      <w:pPr>
        <w:pStyle w:val="Heading1"/>
      </w:pPr>
      <w:r>
        <w:t>5. Beoordeling persoonsgegevens</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Vertrouwelijkheid</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Heeft een onbevoegde persoon gegevens kunnen zien of ontvangen?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Integriteit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Zijn gegevens of AI-uitkomsten onjuist gewijzigd of als juist overgenomen?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Beschikbaarheid</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Zijn noodzakelijke gegevens tijdelijk of blijvend verloren of onbereikbaar?</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Bijzondere gegevens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Betreft het gezondheid, psychische problematiek, medicatie of correspondentie?</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Omvang en duur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Hoeveel betrokkenen, welke duur en welke herstelmogelijkheden?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Risico</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Kans en mogelijke gevolgen voor rechten, beroepsgeheim en zorgverlening.</w:t>
            </w:r>
          </w:p>
        </w:tc>
      </w:tr>
    </w:tbl>
    <w:p>
      <w:pPr>
        <w:spacing w:after="2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FF4D6"/>
            <w:tcBorders>
              <w:top w:val="single" w:sz="2" w:space="0" w:color="FFF4D6"/>
              <w:start w:val="single" w:sz="18" w:space="0" w:color="6E5100"/>
              <w:bottom w:val="single" w:sz="2" w:space="0" w:color="FFF4D6"/>
              <w:end w:val="single" w:sz="2" w:space="0" w:color="FFF4D6"/>
            </w:tcBorders>
          </w:tcPr>
          <w:p>
            <w:pPr>
              <w:spacing w:after="40"/>
            </w:pPr>
            <w:r>
              <w:rPr>
                <w:rFonts w:ascii="Calibri" w:hAnsi="Calibri"/>
                <w:b/>
                <w:color w:val="6E5100"/>
                <w:sz w:val="20"/>
              </w:rPr>
              <w:t>Meldtermijn</w:t>
            </w:r>
          </w:p>
          <w:p>
            <w:pPr>
              <w:spacing w:after="0"/>
            </w:pPr>
            <w:r>
              <w:rPr>
                <w:rFonts w:ascii="Calibri" w:hAnsi="Calibri"/>
                <w:color w:val="17221D"/>
                <w:sz w:val="19"/>
              </w:rPr>
              <w:t>Als melding aan de Autoriteit Persoonsgegevens nodig is, geldt in beginsel maximaal 72 uur nadat de verwerkingsverantwoordelijke kennis heeft genomen van de inbreuk. De praktijk neemt dit besluit en documenteert ook het besluit om niet te melden.</w:t>
            </w:r>
          </w:p>
        </w:tc>
      </w:tr>
    </w:tbl>
    <w:p>
      <w:pPr>
        <w:spacing w:after="20"/>
      </w:pPr>
    </w:p>
    <w:p>
      <w:pPr>
        <w:pStyle w:val="Heading1"/>
      </w:pPr>
      <w:r>
        <w:t>6. AI-kwaliteitsincident</w:t>
      </w:r>
    </w:p>
    <w:tbl>
      <w:tblPr>
        <w:tblW w:type="dxa" w:w="9360"/>
        <w:jc w:val="left"/>
        <w:tblLayout w:type="fixed"/>
        <w:tblLook w:firstColumn="1" w:firstRow="1" w:lastColumn="0" w:lastRow="0" w:noHBand="0" w:noVBand="1" w:val="04A0"/>
        <w:tblInd w:w="120" w:type="dxa"/>
      </w:tblPr>
      <w:tblGrid>
        <w:gridCol w:w="600"/>
        <w:gridCol w:w="8760"/>
      </w:tblGrid>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Is onjuiste output in het medisch dossier terechtgekomen?</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Heeft de output een behandeling, verwijzing, medicatie of communicatie beïnvloed?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Moet het dossier worden gecorrigeerd of aangevuld?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Moet de patiënt of een andere zorgverlener worden geïnformeerd?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Is sprake van een structurele fout die andere gebruikers kan raken?</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Moet een model, functie, template of bron tijdelijk worden uitgeschakeld?</w:t>
            </w:r>
          </w:p>
        </w:tc>
      </w:tr>
    </w:tbl>
    <w:p>
      <w:pPr>
        <w:spacing w:after="20"/>
      </w:pPr>
    </w:p>
    <w:p>
      <w:pPr>
        <w:pStyle w:val="Heading1"/>
      </w:pPr>
      <w:r>
        <w:t>7. Afronding en leren</w:t>
      </w:r>
    </w:p>
    <w:p>
      <w:r>
        <w:rPr>
          <w:rFonts w:ascii="Calibri" w:hAnsi="Calibri"/>
          <w:color w:val="17221D"/>
        </w:rPr>
        <w:t>Iedere gebeurtenis krijgt een eigenaar, oorzaakanalyse, corrigerende maatregel en sluitdatum. Materiële incidenten worden meegenomen in de jaarlijkse evaluatie. Alleen noodzakelijke, inhoudsvrije incidentmetadata wordt centraal bewaard; de praktijk bewaart patiëntgebonden opvolging in het dossier.</w:t>
      </w:r>
    </w:p>
    <w:p>
      <w:pPr>
        <w:pStyle w:val="Heading1"/>
      </w:pPr>
      <w:r>
        <w:t>Bronnen en referenties</w:t>
      </w:r>
    </w:p>
    <w:p>
      <w:r>
        <w:rPr>
          <w:rFonts w:ascii="Calibri" w:hAnsi="Calibri"/>
          <w:color w:val="17221D"/>
        </w:rPr>
        <w:t>Controleer bij definitieve vaststelling of onderstaande bronnen en contractversies nog actueel zijn.</w:t>
      </w:r>
    </w:p>
    <w:p>
      <w:pPr>
        <w:pStyle w:val="ListBullet"/>
        <w:ind w:left="720" w:hanging="360"/>
      </w:pPr>
      <w:hyperlink r:id="rId12">
        <w:r>
          <w:rPr>
            <w:color w:val="1155CC"/>
            <w:u w:val="single"/>
          </w:rPr>
          <w:t>Algemene verordening gegevensbescherming (AVG)</w:t>
        </w:r>
      </w:hyperlink>
    </w:p>
    <w:p>
      <w:pPr>
        <w:pStyle w:val="ListBullet"/>
        <w:ind w:left="720" w:hanging="360"/>
      </w:pPr>
      <w:hyperlink r:id="rId13">
        <w:r>
          <w:rPr>
            <w:color w:val="1155CC"/>
            <w:u w:val="single"/>
          </w:rPr>
          <w:t>EDPB-richtsnoeren melding inbreuken persoonsgegevens (via AP)</w:t>
        </w:r>
      </w:hyperlink>
    </w:p>
    <w:p>
      <w:pPr>
        <w:pStyle w:val="ListBullet"/>
        <w:ind w:left="720" w:hanging="360"/>
      </w:pPr>
      <w:hyperlink r:id="rId14">
        <w:r>
          <w:rPr>
            <w:color w:val="1155CC"/>
            <w:u w:val="single"/>
          </w:rPr>
          <w:t>IGJ - zorgvuldig omgaan met generatieve AI in de zorg</w:t>
        </w:r>
      </w:hyperlink>
    </w:p>
    <w:p>
      <w:pPr>
        <w:pStyle w:val="ListBullet"/>
        <w:ind w:left="720" w:hanging="360"/>
      </w:pPr>
      <w:hyperlink r:id="rId15">
        <w:r>
          <w:rPr>
            <w:color w:val="1155CC"/>
            <w:u w:val="single"/>
          </w:rPr>
          <w:t>Scaleway Data Processing Agreement</w:t>
        </w:r>
      </w:hyperlink>
    </w:p>
    <w:p>
      <w:pPr>
        <w:pStyle w:val="ListBullet"/>
        <w:ind w:left="720" w:hanging="360"/>
      </w:pPr>
      <w:hyperlink r:id="rId16">
        <w:r>
          <w:rPr>
            <w:color w:val="1155CC"/>
            <w:u w:val="single"/>
          </w:rPr>
          <w:t>Scaleway Generative APIs - gegevensbescherming</w:t>
        </w:r>
      </w:hyperlink>
    </w:p>
    <w:sectPr>
      <w:headerReference w:type="default" r:id="rId9"/>
      <w:footerReference w:type="default" r:id="rId10"/>
      <w:pgSz w:w="12240" w:h="15840"/>
      <w:pgMar w:top="1181" w:right="1440" w:bottom="1123" w:left="1440" w:header="504"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40" w:after="0"/>
      <w:jc w:val="center"/>
    </w:pPr>
    <w:r>
      <w:rPr>
        <w:rFonts w:ascii="Calibri" w:hAnsi="Calibri"/>
        <w:color w:val="5C6A63"/>
        <w:sz w:val="16"/>
      </w:rPr>
      <w:t xml:space="preserve">ZorgTekstAI | CONCEPT | versie 0.1 | 23 juli 2026 | pagina </w:t>
    </w:r>
    <w: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dxa" w:w="9360"/>
      <w:jc w:val="left"/>
      <w:tblLayout w:type="fixed"/>
      <w:tblLook w:firstColumn="1" w:firstRow="1" w:lastColumn="0" w:lastRow="0" w:noHBand="0" w:noVBand="1" w:val="04A0"/>
      <w:tblInd w:w="0" w:type="dxa"/>
    </w:tblPr>
    <w:tblGrid>
      <w:gridCol w:w="2500"/>
      <w:gridCol w:w="6860"/>
    </w:tblGrid>
    <w:tr>
      <w:tc>
        <w:tcPr>
          <w:tcW w:type="dxa" w:w="2500"/>
          <w:vAlign w:val="center"/>
          <w:tcMar>
            <w:top w:w="100" w:type="dxa"/>
            <w:start w:w="120" w:type="dxa"/>
            <w:bottom w:w="100" w:type="dxa"/>
            <w:end w:w="120" w:type="dxa"/>
          </w:tcMar>
          <w:tcBorders>
            <w:bottom w:val="single" w:sz="5" w:space="0" w:color="D7DED9"/>
          </w:tcBorders>
        </w:tcPr>
        <w:p>
          <w:pPr>
            <w:spacing w:after="40"/>
          </w:pPr>
          <w:r>
            <w:drawing>
              <wp:inline xmlns:a="http://schemas.openxmlformats.org/drawingml/2006/main" xmlns:pic="http://schemas.openxmlformats.org/drawingml/2006/picture">
                <wp:extent cx="1325880" cy="410090"/>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
                        <a:stretch>
                          <a:fillRect/>
                        </a:stretch>
                      </pic:blipFill>
                      <pic:spPr>
                        <a:xfrm>
                          <a:off x="0" y="0"/>
                          <a:ext cx="1325880" cy="410090"/>
                        </a:xfrm>
                        <a:prstGeom prst="rect"/>
                      </pic:spPr>
                    </pic:pic>
                  </a:graphicData>
                </a:graphic>
              </wp:inline>
            </w:drawing>
          </w:r>
        </w:p>
      </w:tc>
      <w:tc>
        <w:tcPr>
          <w:tcW w:type="dxa" w:w="6860"/>
          <w:vAlign w:val="center"/>
          <w:tcMar>
            <w:top w:w="100" w:type="dxa"/>
            <w:start w:w="120" w:type="dxa"/>
            <w:bottom w:w="100" w:type="dxa"/>
            <w:end w:w="120" w:type="dxa"/>
          </w:tcMar>
          <w:tcBorders>
            <w:bottom w:val="single" w:sz="5" w:space="0" w:color="D7DED9"/>
          </w:tcBorders>
        </w:tcPr>
        <w:p>
          <w:pPr>
            <w:spacing w:after="40"/>
            <w:jc w:val="right"/>
          </w:pPr>
          <w:r>
            <w:rPr>
              <w:rFonts w:ascii="Calibri" w:hAnsi="Calibri"/>
              <w:b/>
              <w:color w:val="073E2A"/>
              <w:sz w:val="17"/>
            </w:rPr>
            <w:t>Incident-, datalek- en AI-foutenprocedure</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4" w:lineRule="auto"/>
    </w:pPr>
    <w:rPr>
      <w:rFonts w:ascii="Calibri" w:hAnsi="Calibri"/>
      <w:color w:val="17221D"/>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00" w:after="140"/>
      <w:outlineLvl w:val="0"/>
    </w:pPr>
    <w:rPr>
      <w:rFonts w:asciiTheme="majorHAnsi" w:eastAsiaTheme="majorEastAsia" w:hAnsiTheme="majorHAnsi" w:cstheme="majorBidi" w:ascii="Calibri" w:hAnsi="Calibri"/>
      <w:b/>
      <w:bCs/>
      <w:color w:val="0B5D3B"/>
      <w:sz w:val="32"/>
      <w:szCs w:val="28"/>
    </w:rPr>
  </w:style>
  <w:style w:type="paragraph" w:styleId="Heading2">
    <w:name w:val="heading 2"/>
    <w:basedOn w:val="Normal"/>
    <w:next w:val="Normal"/>
    <w:link w:val="Heading2Char"/>
    <w:uiPriority w:val="9"/>
    <w:unhideWhenUsed/>
    <w:qFormat/>
    <w:rsid w:val="00FC693F"/>
    <w:pPr>
      <w:keepNext/>
      <w:keepLines/>
      <w:spacing w:before="220" w:after="100"/>
      <w:outlineLvl w:val="1"/>
    </w:pPr>
    <w:rPr>
      <w:rFonts w:asciiTheme="majorHAnsi" w:eastAsiaTheme="majorEastAsia" w:hAnsiTheme="majorHAnsi" w:cstheme="majorBidi" w:ascii="Calibri" w:hAnsi="Calibri"/>
      <w:b/>
      <w:bCs/>
      <w:color w:val="0B5D3B"/>
      <w:sz w:val="26"/>
      <w:szCs w:val="26"/>
    </w:rPr>
  </w:style>
  <w:style w:type="paragraph" w:styleId="Heading3">
    <w:name w:val="heading 3"/>
    <w:basedOn w:val="Normal"/>
    <w:next w:val="Normal"/>
    <w:link w:val="Heading3Char"/>
    <w:uiPriority w:val="9"/>
    <w:unhideWhenUsed/>
    <w:qFormat/>
    <w:rsid w:val="00FC693F"/>
    <w:pPr>
      <w:keepNext/>
      <w:keepLines/>
      <w:spacing w:before="160" w:after="60"/>
      <w:outlineLvl w:val="2"/>
    </w:pPr>
    <w:rPr>
      <w:rFonts w:asciiTheme="majorHAnsi" w:eastAsiaTheme="majorEastAsia" w:hAnsiTheme="majorHAnsi" w:cstheme="majorBidi" w:ascii="Calibri" w:hAnsi="Calibri"/>
      <w:b/>
      <w:bCs/>
      <w:color w:val="073E2A"/>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64" w:lineRule="auto"/>
      <w:contextualSpacing/>
    </w:pPr>
    <w:rPr>
      <w:rFonts w:ascii="Calibri" w:hAnsi="Calibri"/>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64" w:lineRule="auto"/>
      <w:contextualSpacing/>
    </w:pPr>
    <w:rPr>
      <w:rFonts w:ascii="Calibri" w:hAnsi="Calibri"/>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hyperlink" Target="https://eur-lex.europa.eu/eli/reg/2016/679/oj" TargetMode="External"/><Relationship Id="rId13" Type="http://schemas.openxmlformats.org/officeDocument/2006/relationships/hyperlink" Target="https://www.autoriteitpersoonsgegevens.nl/uploads/2023-07/edpb_guidelines_012021_pdbnotification_adopted_nl.pdf" TargetMode="External"/><Relationship Id="rId14" Type="http://schemas.openxmlformats.org/officeDocument/2006/relationships/hyperlink" Target="https://www.igj.nl/documenten/2025/02/10/igj-roept-zorgaanbieders-op-ga-zorgvuldig-om-met-invoering-van-generatieve-ai-toepassingen" TargetMode="External"/><Relationship Id="rId15" Type="http://schemas.openxmlformats.org/officeDocument/2006/relationships/hyperlink" Target="https://www-uploads.scaleway.com/DPA_2024_ENG_b0abb5cc26.pdf" TargetMode="External"/><Relationship Id="rId16" Type="http://schemas.openxmlformats.org/officeDocument/2006/relationships/hyperlink" Target="https://www.scaleway.com/en/docs/generative-apis/reference-content/data-priv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2013-12-23T23:15:00Z</dcterms:created>
  <dcterms:modified xsi:type="dcterms:W3CDTF">2013-12-23T23:15:00Z</dcterms:modified>
  <cp:category/>
</cp:coreProperties>
</file>