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after="180"/>
        <w:jc w:val="left"/>
      </w:pPr>
      <w:r>
        <w:drawing>
          <wp:inline xmlns:a="http://schemas.openxmlformats.org/drawingml/2006/main" xmlns:pic="http://schemas.openxmlformats.org/drawingml/2006/picture">
            <wp:extent cx="2423160" cy="749476"/>
            <wp:docPr id="1" name="Picture 1"/>
            <wp:cNvGraphicFramePr>
              <a:graphicFrameLocks noChangeAspect="1"/>
            </wp:cNvGraphicFramePr>
            <a:graphic>
              <a:graphicData uri="http://schemas.openxmlformats.org/drawingml/2006/picture">
                <pic:pic>
                  <pic:nvPicPr>
                    <pic:cNvPr id="0" name="zorgtekstai-logo.png"/>
                    <pic:cNvPicPr/>
                  </pic:nvPicPr>
                  <pic:blipFill>
                    <a:blip r:embed="rId11"/>
                    <a:stretch>
                      <a:fillRect/>
                    </a:stretch>
                  </pic:blipFill>
                  <pic:spPr>
                    <a:xfrm>
                      <a:off x="0" y="0"/>
                      <a:ext cx="2423160" cy="749476"/>
                    </a:xfrm>
                    <a:prstGeom prst="rect"/>
                  </pic:spPr>
                </pic:pic>
              </a:graphicData>
            </a:graphic>
          </wp:inline>
        </w:drawing>
      </w:r>
    </w:p>
    <w:p>
      <w:pPr>
        <w:spacing w:after="40"/>
      </w:pPr>
      <w:r>
        <w:rPr>
          <w:rFonts w:ascii="Calibri" w:hAnsi="Calibri"/>
          <w:b/>
          <w:color w:val="6E5100"/>
          <w:sz w:val="18"/>
        </w:rPr>
        <w:t>CONCEPT - TER BEOORDELING</w:t>
      </w:r>
    </w:p>
    <w:p>
      <w:pPr>
        <w:spacing w:after="60"/>
      </w:pPr>
      <w:r>
        <w:rPr>
          <w:rFonts w:ascii="Calibri" w:hAnsi="Calibri"/>
          <w:b/>
          <w:color w:val="073E2A"/>
          <w:sz w:val="48"/>
        </w:rPr>
        <w:t>Leveranciers- en contractcontroleprocedure</w:t>
      </w:r>
    </w:p>
    <w:p>
      <w:pPr>
        <w:spacing w:after="280"/>
      </w:pPr>
      <w:r>
        <w:rPr>
          <w:rFonts w:ascii="Calibri" w:hAnsi="Calibri"/>
          <w:color w:val="5C6A63"/>
          <w:sz w:val="25"/>
        </w:rPr>
        <w:t>Jaarlijkse controle van Scaleway, Google en Brave</w:t>
      </w:r>
    </w:p>
    <w:tbl>
      <w:tblPr>
        <w:tblW w:type="dxa" w:w="9360"/>
        <w:jc w:val="left"/>
        <w:tblLayout w:type="fixed"/>
        <w:tblLook w:firstColumn="1" w:firstRow="1" w:lastColumn="0" w:lastRow="0" w:noHBand="0" w:noVBand="1" w:val="04A0"/>
        <w:tblInd w:w="120" w:type="dxa"/>
      </w:tblPr>
      <w:tblGrid>
        <w:gridCol w:w="2700"/>
        <w:gridCol w:w="6660"/>
      </w:tblGrid>
      <w:tr>
        <w:tc>
          <w:tcPr>
            <w:tcW w:type="dxa" w:w="2700"/>
            <w:vAlign w:val="center"/>
            <w:tcMar>
              <w:top w:w="100" w:type="dxa"/>
              <w:start w:w="120" w:type="dxa"/>
              <w:bottom w:w="100" w:type="dxa"/>
              <w:end w:w="120" w:type="dxa"/>
            </w:tcMar>
            <w:shd w:fill="EAF5EE"/>
            <w:tcBorders>
              <w:top w:val="single" w:sz="4" w:space="0" w:color="D7DED9"/>
              <w:start w:val="single" w:sz="4" w:space="0" w:color="D7DED9"/>
              <w:bottom w:val="single" w:sz="4" w:space="0" w:color="D7DED9"/>
              <w:end w:val="single" w:sz="4" w:space="0" w:color="D7DED9"/>
            </w:tcBorders>
          </w:tcPr>
          <w:p>
            <w:r>
              <w:rPr>
                <w:rFonts w:ascii="Calibri" w:hAnsi="Calibri"/>
                <w:b/>
                <w:color w:val="073E2A"/>
                <w:sz w:val="19"/>
              </w:rPr>
              <w:t>Documenteigenaar</w:t>
            </w:r>
          </w:p>
        </w:tc>
        <w:tc>
          <w:tcPr>
            <w:tcW w:type="dxa" w:w="666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r>
              <w:rPr>
                <w:rFonts w:ascii="Calibri" w:hAnsi="Calibri"/>
                <w:color w:val="17221D"/>
                <w:sz w:val="19"/>
              </w:rPr>
              <w:t>Marinus den Breejen</w:t>
            </w:r>
          </w:p>
        </w:tc>
      </w:tr>
      <w:tr>
        <w:tc>
          <w:tcPr>
            <w:tcW w:type="dxa" w:w="2700"/>
            <w:vAlign w:val="center"/>
            <w:tcMar>
              <w:top w:w="100" w:type="dxa"/>
              <w:start w:w="120" w:type="dxa"/>
              <w:bottom w:w="100" w:type="dxa"/>
              <w:end w:w="120" w:type="dxa"/>
            </w:tcMar>
            <w:shd w:fill="EAF5EE"/>
            <w:tcBorders>
              <w:top w:val="single" w:sz="4" w:space="0" w:color="D7DED9"/>
              <w:start w:val="single" w:sz="4" w:space="0" w:color="D7DED9"/>
              <w:bottom w:val="single" w:sz="4" w:space="0" w:color="D7DED9"/>
              <w:end w:val="single" w:sz="4" w:space="0" w:color="D7DED9"/>
            </w:tcBorders>
          </w:tcPr>
          <w:p>
            <w:r>
              <w:rPr>
                <w:rFonts w:ascii="Calibri" w:hAnsi="Calibri"/>
                <w:b/>
                <w:color w:val="073E2A"/>
                <w:sz w:val="19"/>
              </w:rPr>
              <w:t>Versie</w:t>
            </w:r>
          </w:p>
        </w:tc>
        <w:tc>
          <w:tcPr>
            <w:tcW w:type="dxa" w:w="666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r>
              <w:rPr>
                <w:rFonts w:ascii="Calibri" w:hAnsi="Calibri"/>
                <w:color w:val="17221D"/>
                <w:sz w:val="19"/>
              </w:rPr>
              <w:t>0.1</w:t>
            </w:r>
          </w:p>
        </w:tc>
      </w:tr>
      <w:tr>
        <w:tc>
          <w:tcPr>
            <w:tcW w:type="dxa" w:w="2700"/>
            <w:vAlign w:val="center"/>
            <w:tcMar>
              <w:top w:w="100" w:type="dxa"/>
              <w:start w:w="120" w:type="dxa"/>
              <w:bottom w:w="100" w:type="dxa"/>
              <w:end w:w="120" w:type="dxa"/>
            </w:tcMar>
            <w:shd w:fill="EAF5EE"/>
            <w:tcBorders>
              <w:top w:val="single" w:sz="4" w:space="0" w:color="D7DED9"/>
              <w:start w:val="single" w:sz="4" w:space="0" w:color="D7DED9"/>
              <w:bottom w:val="single" w:sz="4" w:space="0" w:color="D7DED9"/>
              <w:end w:val="single" w:sz="4" w:space="0" w:color="D7DED9"/>
            </w:tcBorders>
          </w:tcPr>
          <w:p>
            <w:r>
              <w:rPr>
                <w:rFonts w:ascii="Calibri" w:hAnsi="Calibri"/>
                <w:b/>
                <w:color w:val="073E2A"/>
                <w:sz w:val="19"/>
              </w:rPr>
              <w:t>Datum concept</w:t>
            </w:r>
          </w:p>
        </w:tc>
        <w:tc>
          <w:tcPr>
            <w:tcW w:type="dxa" w:w="666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r>
              <w:rPr>
                <w:rFonts w:ascii="Calibri" w:hAnsi="Calibri"/>
                <w:color w:val="17221D"/>
                <w:sz w:val="19"/>
              </w:rPr>
              <w:t>23 juli 2026</w:t>
            </w:r>
          </w:p>
        </w:tc>
      </w:tr>
      <w:tr>
        <w:tc>
          <w:tcPr>
            <w:tcW w:type="dxa" w:w="2700"/>
            <w:vAlign w:val="center"/>
            <w:tcMar>
              <w:top w:w="100" w:type="dxa"/>
              <w:start w:w="120" w:type="dxa"/>
              <w:bottom w:w="100" w:type="dxa"/>
              <w:end w:w="120" w:type="dxa"/>
            </w:tcMar>
            <w:shd w:fill="EAF5EE"/>
            <w:tcBorders>
              <w:top w:val="single" w:sz="4" w:space="0" w:color="D7DED9"/>
              <w:start w:val="single" w:sz="4" w:space="0" w:color="D7DED9"/>
              <w:bottom w:val="single" w:sz="4" w:space="0" w:color="D7DED9"/>
              <w:end w:val="single" w:sz="4" w:space="0" w:color="D7DED9"/>
            </w:tcBorders>
          </w:tcPr>
          <w:p>
            <w:r>
              <w:rPr>
                <w:rFonts w:ascii="Calibri" w:hAnsi="Calibri"/>
                <w:b/>
                <w:color w:val="073E2A"/>
                <w:sz w:val="19"/>
              </w:rPr>
              <w:t>Volgende beoordeling</w:t>
            </w:r>
          </w:p>
        </w:tc>
        <w:tc>
          <w:tcPr>
            <w:tcW w:type="dxa" w:w="666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r>
              <w:rPr>
                <w:rFonts w:ascii="Calibri" w:hAnsi="Calibri"/>
                <w:color w:val="17221D"/>
                <w:sz w:val="19"/>
              </w:rPr>
              <w:t>23 juli 2027</w:t>
            </w:r>
          </w:p>
        </w:tc>
      </w:tr>
      <w:tr>
        <w:tc>
          <w:tcPr>
            <w:tcW w:type="dxa" w:w="2700"/>
            <w:vAlign w:val="center"/>
            <w:tcMar>
              <w:top w:w="100" w:type="dxa"/>
              <w:start w:w="120" w:type="dxa"/>
              <w:bottom w:w="100" w:type="dxa"/>
              <w:end w:w="120" w:type="dxa"/>
            </w:tcMar>
            <w:shd w:fill="EAF5EE"/>
            <w:tcBorders>
              <w:top w:val="single" w:sz="4" w:space="0" w:color="D7DED9"/>
              <w:start w:val="single" w:sz="4" w:space="0" w:color="D7DED9"/>
              <w:bottom w:val="single" w:sz="4" w:space="0" w:color="D7DED9"/>
              <w:end w:val="single" w:sz="4" w:space="0" w:color="D7DED9"/>
            </w:tcBorders>
          </w:tcPr>
          <w:p>
            <w:r>
              <w:rPr>
                <w:rFonts w:ascii="Calibri" w:hAnsi="Calibri"/>
                <w:b/>
                <w:color w:val="073E2A"/>
                <w:sz w:val="19"/>
              </w:rPr>
              <w:t>Status</w:t>
            </w:r>
          </w:p>
        </w:tc>
        <w:tc>
          <w:tcPr>
            <w:tcW w:type="dxa" w:w="666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r>
              <w:rPr>
                <w:rFonts w:ascii="Calibri" w:hAnsi="Calibri"/>
                <w:color w:val="17221D"/>
                <w:sz w:val="19"/>
              </w:rPr>
              <w:t>CONCEPT - ter beoordeling</w:t>
            </w:r>
          </w:p>
        </w:tc>
      </w:tr>
    </w:tbl>
    <w:p>
      <w:pPr>
        <w:spacing w:after="20"/>
      </w:pPr>
    </w:p>
    <w:tbl>
      <w:tblPr>
        <w:tblW w:type="dxa" w:w="9360"/>
        <w:jc w:val="left"/>
        <w:tblLayout w:type="fixed"/>
        <w:tblLook w:firstColumn="1" w:firstRow="1" w:lastColumn="0" w:lastRow="0" w:noHBand="0" w:noVBand="1" w:val="04A0"/>
        <w:tblInd w:w="120" w:type="dxa"/>
      </w:tblPr>
      <w:tblGrid>
        <w:gridCol w:w="9360"/>
      </w:tblGrid>
      <w:tr>
        <w:tc>
          <w:tcPr>
            <w:tcW w:type="dxa" w:w="9360"/>
            <w:vAlign w:val="center"/>
            <w:tcMar>
              <w:top w:w="100" w:type="dxa"/>
              <w:start w:w="120" w:type="dxa"/>
              <w:bottom w:w="100" w:type="dxa"/>
              <w:end w:w="120" w:type="dxa"/>
            </w:tcMar>
            <w:shd w:fill="FFF4D6"/>
            <w:tcBorders>
              <w:top w:val="single" w:sz="2" w:space="0" w:color="FFF4D6"/>
              <w:start w:val="single" w:sz="18" w:space="0" w:color="6E5100"/>
              <w:bottom w:val="single" w:sz="2" w:space="0" w:color="FFF4D6"/>
              <w:end w:val="single" w:sz="2" w:space="0" w:color="FFF4D6"/>
            </w:tcBorders>
          </w:tcPr>
          <w:p>
            <w:pPr>
              <w:spacing w:after="40"/>
            </w:pPr>
            <w:r>
              <w:rPr>
                <w:rFonts w:ascii="Calibri" w:hAnsi="Calibri"/>
                <w:b/>
                <w:color w:val="6E5100"/>
                <w:sz w:val="20"/>
              </w:rPr>
              <w:t>Conceptstatus</w:t>
            </w:r>
          </w:p>
          <w:p>
            <w:pPr>
              <w:spacing w:after="0"/>
            </w:pPr>
            <w:r>
              <w:rPr>
                <w:rFonts w:ascii="Calibri" w:hAnsi="Calibri"/>
                <w:color w:val="17221D"/>
                <w:sz w:val="19"/>
              </w:rPr>
              <w:t>Dit document is een bewerkbaar concept. De betrokken praktijk moet de invulvelden aanpassen, de feitelijke inrichting controleren en het document laten goedkeuren door de bevoegde bestuurder. Waar passend is beoordeling door een privacy- of juridisch deskundige aanbevolen.</w:t>
            </w:r>
          </w:p>
        </w:tc>
      </w:tr>
    </w:tbl>
    <w:p>
      <w:pPr>
        <w:spacing w:after="20"/>
      </w:pPr>
    </w:p>
    <w:p>
      <w:pPr>
        <w:pStyle w:val="Heading1"/>
      </w:pPr>
      <w:r>
        <w:t>1. Doel</w:t>
      </w:r>
    </w:p>
    <w:p>
      <w:r>
        <w:rPr>
          <w:rFonts w:ascii="Calibri" w:hAnsi="Calibri"/>
          <w:color w:val="17221D"/>
        </w:rPr>
        <w:t>Deze procedure zorgt dat de contractuele, privacy- en beveiligingsvoorwaarden van de technische dienstverleners aantoonbaar worden gecontroleerd. Marinus den Breejen voert de controle jaarlijks en bij een relevante wijzigingsmelding uit.</w:t>
      </w:r>
    </w:p>
    <w:p>
      <w:pPr>
        <w:pStyle w:val="Heading1"/>
      </w:pPr>
      <w:r>
        <w:t>2. Leveranciersmodel</w:t>
      </w:r>
    </w:p>
    <w:tbl>
      <w:tblPr>
        <w:tblW w:type="dxa" w:w="9360"/>
        <w:jc w:val="left"/>
        <w:tblLayout w:type="fixed"/>
        <w:tblLook w:firstColumn="1" w:firstRow="1" w:lastColumn="0" w:lastRow="0" w:noHBand="0" w:noVBand="1" w:val="04A0"/>
        <w:tblInd w:w="120" w:type="dxa"/>
      </w:tblPr>
      <w:tblGrid>
        <w:gridCol w:w="1500"/>
        <w:gridCol w:w="1900"/>
        <w:gridCol w:w="3000"/>
        <w:gridCol w:w="2960"/>
      </w:tblGrid>
      <w:tr>
        <w:tc>
          <w:tcPr>
            <w:tcW w:type="dxa" w:w="1500"/>
            <w:vAlign w:val="center"/>
            <w:tcMar>
              <w:top w:w="100" w:type="dxa"/>
              <w:start w:w="120" w:type="dxa"/>
              <w:bottom w:w="100" w:type="dxa"/>
              <w:end w:w="120" w:type="dxa"/>
            </w:tcMar>
            <w:shd w:fill="0B5D3B"/>
            <w:tcBorders>
              <w:top w:val="single" w:sz="4" w:space="0" w:color="D7DED9"/>
              <w:start w:val="single" w:sz="4" w:space="0" w:color="D7DED9"/>
              <w:bottom w:val="single" w:sz="4" w:space="0" w:color="D7DED9"/>
              <w:end w:val="single" w:sz="4" w:space="0" w:color="D7DED9"/>
            </w:tcBorders>
          </w:tcPr>
          <w:p>
            <w:r>
              <w:rPr>
                <w:rFonts w:ascii="Calibri" w:hAnsi="Calibri"/>
                <w:b/>
                <w:color w:val="FFFFFF"/>
                <w:sz w:val="17"/>
              </w:rPr>
              <w:t>Partij</w:t>
            </w:r>
          </w:p>
        </w:tc>
        <w:tc>
          <w:tcPr>
            <w:tcW w:type="dxa" w:w="1900"/>
            <w:vAlign w:val="center"/>
            <w:tcMar>
              <w:top w:w="100" w:type="dxa"/>
              <w:start w:w="120" w:type="dxa"/>
              <w:bottom w:w="100" w:type="dxa"/>
              <w:end w:w="120" w:type="dxa"/>
            </w:tcMar>
            <w:shd w:fill="0B5D3B"/>
            <w:tcBorders>
              <w:top w:val="single" w:sz="4" w:space="0" w:color="D7DED9"/>
              <w:start w:val="single" w:sz="4" w:space="0" w:color="D7DED9"/>
              <w:bottom w:val="single" w:sz="4" w:space="0" w:color="D7DED9"/>
              <w:end w:val="single" w:sz="4" w:space="0" w:color="D7DED9"/>
            </w:tcBorders>
          </w:tcPr>
          <w:p>
            <w:r>
              <w:rPr>
                <w:rFonts w:ascii="Calibri" w:hAnsi="Calibri"/>
                <w:b/>
                <w:color w:val="FFFFFF"/>
                <w:sz w:val="17"/>
              </w:rPr>
              <w:t>Rol</w:t>
            </w:r>
          </w:p>
        </w:tc>
        <w:tc>
          <w:tcPr>
            <w:tcW w:type="dxa" w:w="3000"/>
            <w:vAlign w:val="center"/>
            <w:tcMar>
              <w:top w:w="100" w:type="dxa"/>
              <w:start w:w="120" w:type="dxa"/>
              <w:bottom w:w="100" w:type="dxa"/>
              <w:end w:w="120" w:type="dxa"/>
            </w:tcMar>
            <w:shd w:fill="0B5D3B"/>
            <w:tcBorders>
              <w:top w:val="single" w:sz="4" w:space="0" w:color="D7DED9"/>
              <w:start w:val="single" w:sz="4" w:space="0" w:color="D7DED9"/>
              <w:bottom w:val="single" w:sz="4" w:space="0" w:color="D7DED9"/>
              <w:end w:val="single" w:sz="4" w:space="0" w:color="D7DED9"/>
            </w:tcBorders>
          </w:tcPr>
          <w:p>
            <w:r>
              <w:rPr>
                <w:rFonts w:ascii="Calibri" w:hAnsi="Calibri"/>
                <w:b/>
                <w:color w:val="FFFFFF"/>
                <w:sz w:val="17"/>
              </w:rPr>
              <w:t>Gegevens</w:t>
            </w:r>
          </w:p>
        </w:tc>
        <w:tc>
          <w:tcPr>
            <w:tcW w:type="dxa" w:w="2960"/>
            <w:vAlign w:val="center"/>
            <w:tcMar>
              <w:top w:w="100" w:type="dxa"/>
              <w:start w:w="120" w:type="dxa"/>
              <w:bottom w:w="100" w:type="dxa"/>
              <w:end w:w="120" w:type="dxa"/>
            </w:tcMar>
            <w:shd w:fill="0B5D3B"/>
            <w:tcBorders>
              <w:top w:val="single" w:sz="4" w:space="0" w:color="D7DED9"/>
              <w:start w:val="single" w:sz="4" w:space="0" w:color="D7DED9"/>
              <w:bottom w:val="single" w:sz="4" w:space="0" w:color="D7DED9"/>
              <w:end w:val="single" w:sz="4" w:space="0" w:color="D7DED9"/>
            </w:tcBorders>
          </w:tcPr>
          <w:p>
            <w:r>
              <w:rPr>
                <w:rFonts w:ascii="Calibri" w:hAnsi="Calibri"/>
                <w:b/>
                <w:color w:val="FFFFFF"/>
                <w:sz w:val="17"/>
              </w:rPr>
              <w:t>Belangrijkste controle</w:t>
            </w:r>
          </w:p>
        </w:tc>
      </w:tr>
      <w:tr>
        <w:tc>
          <w:tcPr>
            <w:tcW w:type="dxa" w:w="150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pPr>
              <w:spacing w:after="20"/>
            </w:pPr>
            <w:r>
              <w:rPr>
                <w:rFonts w:ascii="Calibri" w:hAnsi="Calibri"/>
                <w:color w:val="17221D"/>
                <w:sz w:val="17"/>
              </w:rPr>
              <w:t>Scaleway SAS</w:t>
            </w:r>
          </w:p>
        </w:tc>
        <w:tc>
          <w:tcPr>
            <w:tcW w:type="dxa" w:w="190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pPr>
              <w:spacing w:after="20"/>
            </w:pPr>
            <w:r>
              <w:rPr>
                <w:rFonts w:ascii="Calibri" w:hAnsi="Calibri"/>
                <w:color w:val="17221D"/>
                <w:sz w:val="17"/>
              </w:rPr>
              <w:t>Subverwerker</w:t>
            </w:r>
          </w:p>
        </w:tc>
        <w:tc>
          <w:tcPr>
            <w:tcW w:type="dxa" w:w="300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pPr>
              <w:spacing w:after="20"/>
            </w:pPr>
            <w:r>
              <w:rPr>
                <w:rFonts w:ascii="Calibri" w:hAnsi="Calibri"/>
                <w:color w:val="17221D"/>
                <w:sz w:val="17"/>
              </w:rPr>
              <w:t>Live patiëntinhoud; infrastructuur- en gebruiksmetadata.</w:t>
            </w:r>
          </w:p>
        </w:tc>
        <w:tc>
          <w:tcPr>
            <w:tcW w:type="dxa" w:w="296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pPr>
              <w:spacing w:after="20"/>
            </w:pPr>
            <w:r>
              <w:rPr>
                <w:rFonts w:ascii="Calibri" w:hAnsi="Calibri"/>
                <w:color w:val="17221D"/>
                <w:sz w:val="17"/>
              </w:rPr>
              <w:t>DPA, voorwaarden, regio, retentie, subverwerkers, TOM's.</w:t>
            </w:r>
          </w:p>
        </w:tc>
      </w:tr>
      <w:tr>
        <w:tc>
          <w:tcPr>
            <w:tcW w:type="dxa" w:w="1500"/>
            <w:vAlign w:val="center"/>
            <w:tcMar>
              <w:top w:w="100" w:type="dxa"/>
              <w:start w:w="120" w:type="dxa"/>
              <w:bottom w:w="100" w:type="dxa"/>
              <w:end w:w="120" w:type="dxa"/>
            </w:tcMar>
            <w:shd w:fill="F2F4F3"/>
            <w:tcBorders>
              <w:top w:val="single" w:sz="4" w:space="0" w:color="D7DED9"/>
              <w:start w:val="single" w:sz="4" w:space="0" w:color="D7DED9"/>
              <w:bottom w:val="single" w:sz="4" w:space="0" w:color="D7DED9"/>
              <w:end w:val="single" w:sz="4" w:space="0" w:color="D7DED9"/>
            </w:tcBorders>
          </w:tcPr>
          <w:p>
            <w:pPr>
              <w:spacing w:after="20"/>
            </w:pPr>
            <w:r>
              <w:rPr>
                <w:rFonts w:ascii="Calibri" w:hAnsi="Calibri"/>
                <w:color w:val="17221D"/>
                <w:sz w:val="17"/>
              </w:rPr>
              <w:t>Google</w:t>
            </w:r>
          </w:p>
        </w:tc>
        <w:tc>
          <w:tcPr>
            <w:tcW w:type="dxa" w:w="1900"/>
            <w:vAlign w:val="center"/>
            <w:tcMar>
              <w:top w:w="100" w:type="dxa"/>
              <w:start w:w="120" w:type="dxa"/>
              <w:bottom w:w="100" w:type="dxa"/>
              <w:end w:w="120" w:type="dxa"/>
            </w:tcMar>
            <w:shd w:fill="F2F4F3"/>
            <w:tcBorders>
              <w:top w:val="single" w:sz="4" w:space="0" w:color="D7DED9"/>
              <w:start w:val="single" w:sz="4" w:space="0" w:color="D7DED9"/>
              <w:bottom w:val="single" w:sz="4" w:space="0" w:color="D7DED9"/>
              <w:end w:val="single" w:sz="4" w:space="0" w:color="D7DED9"/>
            </w:tcBorders>
          </w:tcPr>
          <w:p>
            <w:pPr>
              <w:spacing w:after="20"/>
            </w:pPr>
            <w:r>
              <w:rPr>
                <w:rFonts w:ascii="Calibri" w:hAnsi="Calibri"/>
                <w:color w:val="17221D"/>
                <w:sz w:val="17"/>
              </w:rPr>
              <w:t>Authenticatie-/accountdienst</w:t>
            </w:r>
          </w:p>
        </w:tc>
        <w:tc>
          <w:tcPr>
            <w:tcW w:type="dxa" w:w="3000"/>
            <w:vAlign w:val="center"/>
            <w:tcMar>
              <w:top w:w="100" w:type="dxa"/>
              <w:start w:w="120" w:type="dxa"/>
              <w:bottom w:w="100" w:type="dxa"/>
              <w:end w:w="120" w:type="dxa"/>
            </w:tcMar>
            <w:shd w:fill="F2F4F3"/>
            <w:tcBorders>
              <w:top w:val="single" w:sz="4" w:space="0" w:color="D7DED9"/>
              <w:start w:val="single" w:sz="4" w:space="0" w:color="D7DED9"/>
              <w:bottom w:val="single" w:sz="4" w:space="0" w:color="D7DED9"/>
              <w:end w:val="single" w:sz="4" w:space="0" w:color="D7DED9"/>
            </w:tcBorders>
          </w:tcPr>
          <w:p>
            <w:pPr>
              <w:spacing w:after="20"/>
            </w:pPr>
            <w:r>
              <w:rPr>
                <w:rFonts w:ascii="Calibri" w:hAnsi="Calibri"/>
                <w:color w:val="17221D"/>
                <w:sz w:val="17"/>
              </w:rPr>
              <w:t>E-mailadres en authenticatiemetadata; geen zorginhoud via de app.</w:t>
            </w:r>
          </w:p>
        </w:tc>
        <w:tc>
          <w:tcPr>
            <w:tcW w:type="dxa" w:w="2960"/>
            <w:vAlign w:val="center"/>
            <w:tcMar>
              <w:top w:w="100" w:type="dxa"/>
              <w:start w:w="120" w:type="dxa"/>
              <w:bottom w:w="100" w:type="dxa"/>
              <w:end w:w="120" w:type="dxa"/>
            </w:tcMar>
            <w:shd w:fill="F2F4F3"/>
            <w:tcBorders>
              <w:top w:val="single" w:sz="4" w:space="0" w:color="D7DED9"/>
              <w:start w:val="single" w:sz="4" w:space="0" w:color="D7DED9"/>
              <w:bottom w:val="single" w:sz="4" w:space="0" w:color="D7DED9"/>
              <w:end w:val="single" w:sz="4" w:space="0" w:color="D7DED9"/>
            </w:tcBorders>
          </w:tcPr>
          <w:p>
            <w:pPr>
              <w:spacing w:after="20"/>
            </w:pPr>
            <w:r>
              <w:rPr>
                <w:rFonts w:ascii="Calibri" w:hAnsi="Calibri"/>
                <w:color w:val="17221D"/>
                <w:sz w:val="17"/>
              </w:rPr>
              <w:t>Privacybeleid, accountbeveiliging, OAuth-inrichting.</w:t>
            </w:r>
          </w:p>
        </w:tc>
      </w:tr>
      <w:tr>
        <w:tc>
          <w:tcPr>
            <w:tcW w:type="dxa" w:w="150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pPr>
              <w:spacing w:after="20"/>
            </w:pPr>
            <w:r>
              <w:rPr>
                <w:rFonts w:ascii="Calibri" w:hAnsi="Calibri"/>
                <w:color w:val="17221D"/>
                <w:sz w:val="17"/>
              </w:rPr>
              <w:t>Brave Software Inc.</w:t>
            </w:r>
          </w:p>
        </w:tc>
        <w:tc>
          <w:tcPr>
            <w:tcW w:type="dxa" w:w="190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pPr>
              <w:spacing w:after="20"/>
            </w:pPr>
            <w:r>
              <w:rPr>
                <w:rFonts w:ascii="Calibri" w:hAnsi="Calibri"/>
                <w:color w:val="17221D"/>
                <w:sz w:val="17"/>
              </w:rPr>
              <w:t>Externe zoekdienst na opt-in</w:t>
            </w:r>
          </w:p>
        </w:tc>
        <w:tc>
          <w:tcPr>
            <w:tcW w:type="dxa" w:w="300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pPr>
              <w:spacing w:after="20"/>
            </w:pPr>
            <w:r>
              <w:rPr>
                <w:rFonts w:ascii="Calibri" w:hAnsi="Calibri"/>
                <w:color w:val="17221D"/>
                <w:sz w:val="17"/>
              </w:rPr>
              <w:t>Alleen algemene zoekterm zonder persoonsgegevens.</w:t>
            </w:r>
          </w:p>
        </w:tc>
        <w:tc>
          <w:tcPr>
            <w:tcW w:type="dxa" w:w="296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pPr>
              <w:spacing w:after="20"/>
            </w:pPr>
            <w:r>
              <w:rPr>
                <w:rFonts w:ascii="Calibri" w:hAnsi="Calibri"/>
                <w:color w:val="17221D"/>
                <w:sz w:val="17"/>
              </w:rPr>
              <w:t>Privacy Notice, bewaartermijn, internationale route.</w:t>
            </w:r>
          </w:p>
        </w:tc>
      </w:tr>
    </w:tbl>
    <w:p>
      <w:pPr>
        <w:spacing w:after="20"/>
      </w:pPr>
    </w:p>
    <w:p>
      <w:pPr>
        <w:pStyle w:val="Heading1"/>
      </w:pPr>
      <w:r>
        <w:t>3. Jaarlijkse controle Scaleway</w:t>
      </w:r>
    </w:p>
    <w:tbl>
      <w:tblPr>
        <w:tblW w:type="dxa" w:w="9360"/>
        <w:jc w:val="left"/>
        <w:tblLayout w:type="fixed"/>
        <w:tblLook w:firstColumn="1" w:firstRow="1" w:lastColumn="0" w:lastRow="0" w:noHBand="0" w:noVBand="1" w:val="04A0"/>
        <w:tblInd w:w="120" w:type="dxa"/>
      </w:tblPr>
      <w:tblGrid>
        <w:gridCol w:w="600"/>
        <w:gridCol w:w="8760"/>
      </w:tblGrid>
      <w:tr>
        <w:tc>
          <w:tcPr>
            <w:tcW w:type="dxa" w:w="600"/>
            <w:vAlign w:val="center"/>
            <w:tcMar>
              <w:top w:w="100" w:type="dxa"/>
              <w:start w:w="120" w:type="dxa"/>
              <w:bottom w:w="100" w:type="dxa"/>
              <w:end w:w="120" w:type="dxa"/>
            </w:tcMar>
            <w:shd w:fill="EAF5EE"/>
            <w:tcBorders>
              <w:top w:val="single" w:sz="3" w:space="0" w:color="D7DED9"/>
              <w:start w:val="single" w:sz="3" w:space="0" w:color="D7DED9"/>
              <w:bottom w:val="single" w:sz="3" w:space="0" w:color="D7DED9"/>
              <w:end w:val="single" w:sz="3" w:space="0" w:color="D7DED9"/>
            </w:tcBorders>
          </w:tcPr>
          <w:p>
            <w:pPr>
              <w:jc w:val="center"/>
            </w:pPr>
            <w:r>
              <w:rPr>
                <w:rFonts w:ascii="Calibri" w:hAnsi="Calibri"/>
                <w:b/>
                <w:color w:val="073E2A"/>
                <w:sz w:val="22"/>
              </w:rPr>
              <w:t>☐</w:t>
            </w:r>
          </w:p>
        </w:tc>
        <w:tc>
          <w:tcPr>
            <w:tcW w:type="dxa" w:w="8760"/>
            <w:vAlign w:val="center"/>
            <w:tcMar>
              <w:top w:w="100" w:type="dxa"/>
              <w:start w:w="120" w:type="dxa"/>
              <w:bottom w:w="100" w:type="dxa"/>
              <w:end w:w="120" w:type="dxa"/>
            </w:tcMar>
            <w:tcBorders>
              <w:top w:val="single" w:sz="3" w:space="0" w:color="D7DED9"/>
              <w:start w:val="single" w:sz="3" w:space="0" w:color="D7DED9"/>
              <w:bottom w:val="single" w:sz="3" w:space="0" w:color="D7DED9"/>
              <w:end w:val="single" w:sz="3" w:space="0" w:color="D7DED9"/>
            </w:tcBorders>
          </w:tcPr>
          <w:p>
            <w:r>
              <w:rPr>
                <w:rFonts w:ascii="Calibri" w:hAnsi="Calibri"/>
                <w:color w:val="17221D"/>
                <w:sz w:val="19"/>
              </w:rPr>
              <w:t>Algemene voorwaarden en versie gearchiveerd.</w:t>
            </w:r>
          </w:p>
        </w:tc>
      </w:tr>
      <w:tr>
        <w:tc>
          <w:tcPr>
            <w:tcW w:type="dxa" w:w="600"/>
            <w:vAlign w:val="center"/>
            <w:tcMar>
              <w:top w:w="100" w:type="dxa"/>
              <w:start w:w="120" w:type="dxa"/>
              <w:bottom w:w="100" w:type="dxa"/>
              <w:end w:w="120" w:type="dxa"/>
            </w:tcMar>
            <w:shd w:fill="EAF5EE"/>
            <w:tcBorders>
              <w:top w:val="single" w:sz="3" w:space="0" w:color="D7DED9"/>
              <w:start w:val="single" w:sz="3" w:space="0" w:color="D7DED9"/>
              <w:bottom w:val="single" w:sz="3" w:space="0" w:color="D7DED9"/>
              <w:end w:val="single" w:sz="3" w:space="0" w:color="D7DED9"/>
            </w:tcBorders>
          </w:tcPr>
          <w:p>
            <w:pPr>
              <w:jc w:val="center"/>
            </w:pPr>
            <w:r>
              <w:rPr>
                <w:rFonts w:ascii="Calibri" w:hAnsi="Calibri"/>
                <w:b/>
                <w:color w:val="073E2A"/>
                <w:sz w:val="22"/>
              </w:rPr>
              <w:t>☐</w:t>
            </w:r>
          </w:p>
        </w:tc>
        <w:tc>
          <w:tcPr>
            <w:tcW w:type="dxa" w:w="8760"/>
            <w:vAlign w:val="center"/>
            <w:tcMar>
              <w:top w:w="100" w:type="dxa"/>
              <w:start w:w="120" w:type="dxa"/>
              <w:bottom w:w="100" w:type="dxa"/>
              <w:end w:w="120" w:type="dxa"/>
            </w:tcMar>
            <w:tcBorders>
              <w:top w:val="single" w:sz="3" w:space="0" w:color="D7DED9"/>
              <w:start w:val="single" w:sz="3" w:space="0" w:color="D7DED9"/>
              <w:bottom w:val="single" w:sz="3" w:space="0" w:color="D7DED9"/>
              <w:end w:val="single" w:sz="3" w:space="0" w:color="D7DED9"/>
            </w:tcBorders>
          </w:tcPr>
          <w:p>
            <w:r>
              <w:rPr>
                <w:rFonts w:ascii="Calibri" w:hAnsi="Calibri"/>
                <w:color w:val="17221D"/>
                <w:sz w:val="19"/>
              </w:rPr>
              <w:t>DPA en toepasselijke AI-, Containers- en Storagevoorwaarden gearchiveerd.</w:t>
            </w:r>
          </w:p>
        </w:tc>
      </w:tr>
      <w:tr>
        <w:tc>
          <w:tcPr>
            <w:tcW w:type="dxa" w:w="600"/>
            <w:vAlign w:val="center"/>
            <w:tcMar>
              <w:top w:w="100" w:type="dxa"/>
              <w:start w:w="120" w:type="dxa"/>
              <w:bottom w:w="100" w:type="dxa"/>
              <w:end w:w="120" w:type="dxa"/>
            </w:tcMar>
            <w:shd w:fill="EAF5EE"/>
            <w:tcBorders>
              <w:top w:val="single" w:sz="3" w:space="0" w:color="D7DED9"/>
              <w:start w:val="single" w:sz="3" w:space="0" w:color="D7DED9"/>
              <w:bottom w:val="single" w:sz="3" w:space="0" w:color="D7DED9"/>
              <w:end w:val="single" w:sz="3" w:space="0" w:color="D7DED9"/>
            </w:tcBorders>
          </w:tcPr>
          <w:p>
            <w:pPr>
              <w:jc w:val="center"/>
            </w:pPr>
            <w:r>
              <w:rPr>
                <w:rFonts w:ascii="Calibri" w:hAnsi="Calibri"/>
                <w:b/>
                <w:color w:val="073E2A"/>
                <w:sz w:val="22"/>
              </w:rPr>
              <w:t>☐</w:t>
            </w:r>
          </w:p>
        </w:tc>
        <w:tc>
          <w:tcPr>
            <w:tcW w:type="dxa" w:w="8760"/>
            <w:vAlign w:val="center"/>
            <w:tcMar>
              <w:top w:w="100" w:type="dxa"/>
              <w:start w:w="120" w:type="dxa"/>
              <w:bottom w:w="100" w:type="dxa"/>
              <w:end w:w="120" w:type="dxa"/>
            </w:tcMar>
            <w:tcBorders>
              <w:top w:val="single" w:sz="3" w:space="0" w:color="D7DED9"/>
              <w:start w:val="single" w:sz="3" w:space="0" w:color="D7DED9"/>
              <w:bottom w:val="single" w:sz="3" w:space="0" w:color="D7DED9"/>
              <w:end w:val="single" w:sz="3" w:space="0" w:color="D7DED9"/>
            </w:tcBorders>
          </w:tcPr>
          <w:p>
            <w:r>
              <w:rPr>
                <w:rFonts w:ascii="Calibri" w:hAnsi="Calibri"/>
                <w:color w:val="17221D"/>
                <w:sz w:val="19"/>
              </w:rPr>
              <w:t>Technische en organisatorische maatregelen gecontroleerd.</w:t>
            </w:r>
          </w:p>
        </w:tc>
      </w:tr>
      <w:tr>
        <w:tc>
          <w:tcPr>
            <w:tcW w:type="dxa" w:w="600"/>
            <w:vAlign w:val="center"/>
            <w:tcMar>
              <w:top w:w="100" w:type="dxa"/>
              <w:start w:w="120" w:type="dxa"/>
              <w:bottom w:w="100" w:type="dxa"/>
              <w:end w:w="120" w:type="dxa"/>
            </w:tcMar>
            <w:shd w:fill="EAF5EE"/>
            <w:tcBorders>
              <w:top w:val="single" w:sz="3" w:space="0" w:color="D7DED9"/>
              <w:start w:val="single" w:sz="3" w:space="0" w:color="D7DED9"/>
              <w:bottom w:val="single" w:sz="3" w:space="0" w:color="D7DED9"/>
              <w:end w:val="single" w:sz="3" w:space="0" w:color="D7DED9"/>
            </w:tcBorders>
          </w:tcPr>
          <w:p>
            <w:pPr>
              <w:jc w:val="center"/>
            </w:pPr>
            <w:r>
              <w:rPr>
                <w:rFonts w:ascii="Calibri" w:hAnsi="Calibri"/>
                <w:b/>
                <w:color w:val="073E2A"/>
                <w:sz w:val="22"/>
              </w:rPr>
              <w:t>☐</w:t>
            </w:r>
          </w:p>
        </w:tc>
        <w:tc>
          <w:tcPr>
            <w:tcW w:type="dxa" w:w="8760"/>
            <w:vAlign w:val="center"/>
            <w:tcMar>
              <w:top w:w="100" w:type="dxa"/>
              <w:start w:w="120" w:type="dxa"/>
              <w:bottom w:w="100" w:type="dxa"/>
              <w:end w:w="120" w:type="dxa"/>
            </w:tcMar>
            <w:tcBorders>
              <w:top w:val="single" w:sz="3" w:space="0" w:color="D7DED9"/>
              <w:start w:val="single" w:sz="3" w:space="0" w:color="D7DED9"/>
              <w:bottom w:val="single" w:sz="3" w:space="0" w:color="D7DED9"/>
              <w:end w:val="single" w:sz="3" w:space="0" w:color="D7DED9"/>
            </w:tcBorders>
          </w:tcPr>
          <w:p>
            <w:r>
              <w:rPr>
                <w:rFonts w:ascii="Calibri" w:hAnsi="Calibri"/>
                <w:color w:val="17221D"/>
                <w:sz w:val="19"/>
              </w:rPr>
              <w:t>ISO 27001-certificaat en publiek Trust Center gecontroleerd.</w:t>
            </w:r>
          </w:p>
        </w:tc>
      </w:tr>
      <w:tr>
        <w:tc>
          <w:tcPr>
            <w:tcW w:type="dxa" w:w="600"/>
            <w:vAlign w:val="center"/>
            <w:tcMar>
              <w:top w:w="100" w:type="dxa"/>
              <w:start w:w="120" w:type="dxa"/>
              <w:bottom w:w="100" w:type="dxa"/>
              <w:end w:w="120" w:type="dxa"/>
            </w:tcMar>
            <w:shd w:fill="EAF5EE"/>
            <w:tcBorders>
              <w:top w:val="single" w:sz="3" w:space="0" w:color="D7DED9"/>
              <w:start w:val="single" w:sz="3" w:space="0" w:color="D7DED9"/>
              <w:bottom w:val="single" w:sz="3" w:space="0" w:color="D7DED9"/>
              <w:end w:val="single" w:sz="3" w:space="0" w:color="D7DED9"/>
            </w:tcBorders>
          </w:tcPr>
          <w:p>
            <w:pPr>
              <w:jc w:val="center"/>
            </w:pPr>
            <w:r>
              <w:rPr>
                <w:rFonts w:ascii="Calibri" w:hAnsi="Calibri"/>
                <w:b/>
                <w:color w:val="073E2A"/>
                <w:sz w:val="22"/>
              </w:rPr>
              <w:t>☐</w:t>
            </w:r>
          </w:p>
        </w:tc>
        <w:tc>
          <w:tcPr>
            <w:tcW w:type="dxa" w:w="8760"/>
            <w:vAlign w:val="center"/>
            <w:tcMar>
              <w:top w:w="100" w:type="dxa"/>
              <w:start w:w="120" w:type="dxa"/>
              <w:bottom w:w="100" w:type="dxa"/>
              <w:end w:w="120" w:type="dxa"/>
            </w:tcMar>
            <w:tcBorders>
              <w:top w:val="single" w:sz="3" w:space="0" w:color="D7DED9"/>
              <w:start w:val="single" w:sz="3" w:space="0" w:color="D7DED9"/>
              <w:bottom w:val="single" w:sz="3" w:space="0" w:color="D7DED9"/>
              <w:end w:val="single" w:sz="3" w:space="0" w:color="D7DED9"/>
            </w:tcBorders>
          </w:tcPr>
          <w:p>
            <w:r>
              <w:rPr>
                <w:rFonts w:ascii="Calibri" w:hAnsi="Calibri"/>
                <w:color w:val="17221D"/>
                <w:sz w:val="19"/>
              </w:rPr>
              <w:t>Lijst van subverwerkers gecontroleerd.</w:t>
            </w:r>
          </w:p>
        </w:tc>
      </w:tr>
      <w:tr>
        <w:tc>
          <w:tcPr>
            <w:tcW w:type="dxa" w:w="600"/>
            <w:vAlign w:val="center"/>
            <w:tcMar>
              <w:top w:w="100" w:type="dxa"/>
              <w:start w:w="120" w:type="dxa"/>
              <w:bottom w:w="100" w:type="dxa"/>
              <w:end w:w="120" w:type="dxa"/>
            </w:tcMar>
            <w:shd w:fill="EAF5EE"/>
            <w:tcBorders>
              <w:top w:val="single" w:sz="3" w:space="0" w:color="D7DED9"/>
              <w:start w:val="single" w:sz="3" w:space="0" w:color="D7DED9"/>
              <w:bottom w:val="single" w:sz="3" w:space="0" w:color="D7DED9"/>
              <w:end w:val="single" w:sz="3" w:space="0" w:color="D7DED9"/>
            </w:tcBorders>
          </w:tcPr>
          <w:p>
            <w:pPr>
              <w:jc w:val="center"/>
            </w:pPr>
            <w:r>
              <w:rPr>
                <w:rFonts w:ascii="Calibri" w:hAnsi="Calibri"/>
                <w:b/>
                <w:color w:val="073E2A"/>
                <w:sz w:val="22"/>
              </w:rPr>
              <w:t>☐</w:t>
            </w:r>
          </w:p>
        </w:tc>
        <w:tc>
          <w:tcPr>
            <w:tcW w:type="dxa" w:w="8760"/>
            <w:vAlign w:val="center"/>
            <w:tcMar>
              <w:top w:w="100" w:type="dxa"/>
              <w:start w:w="120" w:type="dxa"/>
              <w:bottom w:w="100" w:type="dxa"/>
              <w:end w:w="120" w:type="dxa"/>
            </w:tcMar>
            <w:tcBorders>
              <w:top w:val="single" w:sz="3" w:space="0" w:color="D7DED9"/>
              <w:start w:val="single" w:sz="3" w:space="0" w:color="D7DED9"/>
              <w:bottom w:val="single" w:sz="3" w:space="0" w:color="D7DED9"/>
              <w:end w:val="single" w:sz="3" w:space="0" w:color="D7DED9"/>
            </w:tcBorders>
          </w:tcPr>
          <w:p>
            <w:r>
              <w:rPr>
                <w:rFonts w:ascii="Calibri" w:hAnsi="Calibri"/>
                <w:color w:val="17221D"/>
                <w:sz w:val="19"/>
              </w:rPr>
              <w:t>AI-privacydocumentatie gecontroleerd op Zero Data Retention en uitzonderingen.</w:t>
            </w:r>
          </w:p>
        </w:tc>
      </w:tr>
      <w:tr>
        <w:tc>
          <w:tcPr>
            <w:tcW w:type="dxa" w:w="600"/>
            <w:vAlign w:val="center"/>
            <w:tcMar>
              <w:top w:w="100" w:type="dxa"/>
              <w:start w:w="120" w:type="dxa"/>
              <w:bottom w:w="100" w:type="dxa"/>
              <w:end w:w="120" w:type="dxa"/>
            </w:tcMar>
            <w:shd w:fill="EAF5EE"/>
            <w:tcBorders>
              <w:top w:val="single" w:sz="3" w:space="0" w:color="D7DED9"/>
              <w:start w:val="single" w:sz="3" w:space="0" w:color="D7DED9"/>
              <w:bottom w:val="single" w:sz="3" w:space="0" w:color="D7DED9"/>
              <w:end w:val="single" w:sz="3" w:space="0" w:color="D7DED9"/>
            </w:tcBorders>
          </w:tcPr>
          <w:p>
            <w:pPr>
              <w:jc w:val="center"/>
            </w:pPr>
            <w:r>
              <w:rPr>
                <w:rFonts w:ascii="Calibri" w:hAnsi="Calibri"/>
                <w:b/>
                <w:color w:val="073E2A"/>
                <w:sz w:val="22"/>
              </w:rPr>
              <w:t>☐</w:t>
            </w:r>
          </w:p>
        </w:tc>
        <w:tc>
          <w:tcPr>
            <w:tcW w:type="dxa" w:w="8760"/>
            <w:vAlign w:val="center"/>
            <w:tcMar>
              <w:top w:w="100" w:type="dxa"/>
              <w:start w:w="120" w:type="dxa"/>
              <w:bottom w:w="100" w:type="dxa"/>
              <w:end w:w="120" w:type="dxa"/>
            </w:tcMar>
            <w:tcBorders>
              <w:top w:val="single" w:sz="3" w:space="0" w:color="D7DED9"/>
              <w:start w:val="single" w:sz="3" w:space="0" w:color="D7DED9"/>
              <w:bottom w:val="single" w:sz="3" w:space="0" w:color="D7DED9"/>
              <w:end w:val="single" w:sz="3" w:space="0" w:color="D7DED9"/>
            </w:tcBorders>
          </w:tcPr>
          <w:p>
            <w:r>
              <w:rPr>
                <w:rFonts w:ascii="Calibri" w:hAnsi="Calibri"/>
                <w:color w:val="17221D"/>
                <w:sz w:val="19"/>
              </w:rPr>
              <w:t>Inference-locatie Parijs gecontroleerd.</w:t>
            </w:r>
          </w:p>
        </w:tc>
      </w:tr>
      <w:tr>
        <w:tc>
          <w:tcPr>
            <w:tcW w:type="dxa" w:w="600"/>
            <w:vAlign w:val="center"/>
            <w:tcMar>
              <w:top w:w="100" w:type="dxa"/>
              <w:start w:w="120" w:type="dxa"/>
              <w:bottom w:w="100" w:type="dxa"/>
              <w:end w:w="120" w:type="dxa"/>
            </w:tcMar>
            <w:shd w:fill="EAF5EE"/>
            <w:tcBorders>
              <w:top w:val="single" w:sz="3" w:space="0" w:color="D7DED9"/>
              <w:start w:val="single" w:sz="3" w:space="0" w:color="D7DED9"/>
              <w:bottom w:val="single" w:sz="3" w:space="0" w:color="D7DED9"/>
              <w:end w:val="single" w:sz="3" w:space="0" w:color="D7DED9"/>
            </w:tcBorders>
          </w:tcPr>
          <w:p>
            <w:pPr>
              <w:jc w:val="center"/>
            </w:pPr>
            <w:r>
              <w:rPr>
                <w:rFonts w:ascii="Calibri" w:hAnsi="Calibri"/>
                <w:b/>
                <w:color w:val="073E2A"/>
                <w:sz w:val="22"/>
              </w:rPr>
              <w:t>☐</w:t>
            </w:r>
          </w:p>
        </w:tc>
        <w:tc>
          <w:tcPr>
            <w:tcW w:type="dxa" w:w="8760"/>
            <w:vAlign w:val="center"/>
            <w:tcMar>
              <w:top w:w="100" w:type="dxa"/>
              <w:start w:w="120" w:type="dxa"/>
              <w:bottom w:w="100" w:type="dxa"/>
              <w:end w:w="120" w:type="dxa"/>
            </w:tcMar>
            <w:tcBorders>
              <w:top w:val="single" w:sz="3" w:space="0" w:color="D7DED9"/>
              <w:start w:val="single" w:sz="3" w:space="0" w:color="D7DED9"/>
              <w:bottom w:val="single" w:sz="3" w:space="0" w:color="D7DED9"/>
              <w:end w:val="single" w:sz="3" w:space="0" w:color="D7DED9"/>
            </w:tcBorders>
          </w:tcPr>
          <w:p>
            <w:r>
              <w:rPr>
                <w:rFonts w:ascii="Calibri" w:hAnsi="Calibri"/>
                <w:color w:val="17221D"/>
                <w:sz w:val="19"/>
              </w:rPr>
              <w:t>Serverless Containers en Object Storage-regio Amsterdam gecontroleerd.</w:t>
            </w:r>
          </w:p>
        </w:tc>
      </w:tr>
      <w:tr>
        <w:tc>
          <w:tcPr>
            <w:tcW w:type="dxa" w:w="600"/>
            <w:vAlign w:val="center"/>
            <w:tcMar>
              <w:top w:w="100" w:type="dxa"/>
              <w:start w:w="120" w:type="dxa"/>
              <w:bottom w:w="100" w:type="dxa"/>
              <w:end w:w="120" w:type="dxa"/>
            </w:tcMar>
            <w:shd w:fill="EAF5EE"/>
            <w:tcBorders>
              <w:top w:val="single" w:sz="3" w:space="0" w:color="D7DED9"/>
              <w:start w:val="single" w:sz="3" w:space="0" w:color="D7DED9"/>
              <w:bottom w:val="single" w:sz="3" w:space="0" w:color="D7DED9"/>
              <w:end w:val="single" w:sz="3" w:space="0" w:color="D7DED9"/>
            </w:tcBorders>
          </w:tcPr>
          <w:p>
            <w:pPr>
              <w:jc w:val="center"/>
            </w:pPr>
            <w:r>
              <w:rPr>
                <w:rFonts w:ascii="Calibri" w:hAnsi="Calibri"/>
                <w:b/>
                <w:color w:val="073E2A"/>
                <w:sz w:val="22"/>
              </w:rPr>
              <w:t>☐</w:t>
            </w:r>
          </w:p>
        </w:tc>
        <w:tc>
          <w:tcPr>
            <w:tcW w:type="dxa" w:w="8760"/>
            <w:vAlign w:val="center"/>
            <w:tcMar>
              <w:top w:w="100" w:type="dxa"/>
              <w:start w:w="120" w:type="dxa"/>
              <w:bottom w:w="100" w:type="dxa"/>
              <w:end w:w="120" w:type="dxa"/>
            </w:tcMar>
            <w:tcBorders>
              <w:top w:val="single" w:sz="3" w:space="0" w:color="D7DED9"/>
              <w:start w:val="single" w:sz="3" w:space="0" w:color="D7DED9"/>
              <w:bottom w:val="single" w:sz="3" w:space="0" w:color="D7DED9"/>
              <w:end w:val="single" w:sz="3" w:space="0" w:color="D7DED9"/>
            </w:tcBorders>
          </w:tcPr>
          <w:p>
            <w:r>
              <w:rPr>
                <w:rFonts w:ascii="Calibri" w:hAnsi="Calibri"/>
                <w:color w:val="17221D"/>
                <w:sz w:val="19"/>
              </w:rPr>
              <w:t>Toegangssleutels, IAM-rechten en projectafbakening gecontroleerd.</w:t>
            </w:r>
          </w:p>
        </w:tc>
      </w:tr>
      <w:tr>
        <w:tc>
          <w:tcPr>
            <w:tcW w:type="dxa" w:w="600"/>
            <w:vAlign w:val="center"/>
            <w:tcMar>
              <w:top w:w="100" w:type="dxa"/>
              <w:start w:w="120" w:type="dxa"/>
              <w:bottom w:w="100" w:type="dxa"/>
              <w:end w:w="120" w:type="dxa"/>
            </w:tcMar>
            <w:shd w:fill="EAF5EE"/>
            <w:tcBorders>
              <w:top w:val="single" w:sz="3" w:space="0" w:color="D7DED9"/>
              <w:start w:val="single" w:sz="3" w:space="0" w:color="D7DED9"/>
              <w:bottom w:val="single" w:sz="3" w:space="0" w:color="D7DED9"/>
              <w:end w:val="single" w:sz="3" w:space="0" w:color="D7DED9"/>
            </w:tcBorders>
          </w:tcPr>
          <w:p>
            <w:pPr>
              <w:jc w:val="center"/>
            </w:pPr>
            <w:r>
              <w:rPr>
                <w:rFonts w:ascii="Calibri" w:hAnsi="Calibri"/>
                <w:b/>
                <w:color w:val="073E2A"/>
                <w:sz w:val="22"/>
              </w:rPr>
              <w:t>☐</w:t>
            </w:r>
          </w:p>
        </w:tc>
        <w:tc>
          <w:tcPr>
            <w:tcW w:type="dxa" w:w="8760"/>
            <w:vAlign w:val="center"/>
            <w:tcMar>
              <w:top w:w="100" w:type="dxa"/>
              <w:start w:w="120" w:type="dxa"/>
              <w:bottom w:w="100" w:type="dxa"/>
              <w:end w:w="120" w:type="dxa"/>
            </w:tcMar>
            <w:tcBorders>
              <w:top w:val="single" w:sz="3" w:space="0" w:color="D7DED9"/>
              <w:start w:val="single" w:sz="3" w:space="0" w:color="D7DED9"/>
              <w:bottom w:val="single" w:sz="3" w:space="0" w:color="D7DED9"/>
              <w:end w:val="single" w:sz="3" w:space="0" w:color="D7DED9"/>
            </w:tcBorders>
          </w:tcPr>
          <w:p>
            <w:r>
              <w:rPr>
                <w:rFonts w:ascii="Calibri" w:hAnsi="Calibri"/>
                <w:color w:val="17221D"/>
                <w:sz w:val="19"/>
              </w:rPr>
              <w:t>Wijzigingen en gevolgen voor praktijken vastgelegd.</w:t>
            </w:r>
          </w:p>
        </w:tc>
      </w:tr>
    </w:tbl>
    <w:p>
      <w:pPr>
        <w:spacing w:after="20"/>
      </w:pPr>
    </w:p>
    <w:p>
      <w:pPr>
        <w:pStyle w:val="Heading1"/>
      </w:pPr>
      <w:r>
        <w:t>4. Controle Google</w:t>
      </w:r>
    </w:p>
    <w:p>
      <w:pPr>
        <w:pStyle w:val="ListBullet"/>
        <w:spacing w:after="80"/>
        <w:ind w:left="720" w:hanging="360"/>
      </w:pPr>
      <w:r>
        <w:rPr>
          <w:rFonts w:ascii="Calibri" w:hAnsi="Calibri"/>
          <w:color w:val="17221D"/>
        </w:rPr>
        <w:t>OAuth-client en redirect-URI's zijn beperkt tot de actuele applicatie.</w:t>
      </w:r>
    </w:p>
    <w:p>
      <w:pPr>
        <w:pStyle w:val="ListBullet"/>
        <w:spacing w:after="80"/>
        <w:ind w:left="720" w:hanging="360"/>
      </w:pPr>
      <w:r>
        <w:rPr>
          <w:rFonts w:ascii="Calibri" w:hAnsi="Calibri"/>
          <w:color w:val="17221D"/>
        </w:rPr>
        <w:t>Alleen expliciet toegestane e-mailadressen kunnen inloggen.</w:t>
      </w:r>
    </w:p>
    <w:p>
      <w:pPr>
        <w:pStyle w:val="ListBullet"/>
        <w:spacing w:after="80"/>
        <w:ind w:left="720" w:hanging="360"/>
      </w:pPr>
      <w:r>
        <w:rPr>
          <w:rFonts w:ascii="Calibri" w:hAnsi="Calibri"/>
          <w:color w:val="17221D"/>
        </w:rPr>
        <w:t>Google ontvangt via ZorgTekstAI geen documenten, audio, prompts of AI-antwoorden.</w:t>
      </w:r>
    </w:p>
    <w:p>
      <w:pPr>
        <w:pStyle w:val="ListBullet"/>
        <w:spacing w:after="80"/>
        <w:ind w:left="720" w:hanging="360"/>
      </w:pPr>
      <w:r>
        <w:rPr>
          <w:rFonts w:ascii="Calibri" w:hAnsi="Calibri"/>
          <w:color w:val="17221D"/>
        </w:rPr>
        <w:t>De praktijk verlangt passende accountbeveiliging; MFA wordt sterk aanbevolen, zeker voor de beheerder.</w:t>
      </w:r>
    </w:p>
    <w:p>
      <w:pPr>
        <w:pStyle w:val="ListBullet"/>
        <w:spacing w:after="80"/>
        <w:ind w:left="720" w:hanging="360"/>
      </w:pPr>
      <w:r>
        <w:rPr>
          <w:rFonts w:ascii="Calibri" w:hAnsi="Calibri"/>
          <w:color w:val="17221D"/>
        </w:rPr>
        <w:t>Vertrokken of niet langer bevoegde gebruikers worden uit de allowlist verwijderd.</w:t>
      </w:r>
    </w:p>
    <w:p>
      <w:pPr>
        <w:pStyle w:val="Heading1"/>
      </w:pPr>
      <w:r>
        <w:t>5. Controle Brave</w:t>
      </w:r>
    </w:p>
    <w:p>
      <w:pPr>
        <w:pStyle w:val="ListBullet"/>
        <w:spacing w:after="80"/>
        <w:ind w:left="720" w:hanging="360"/>
      </w:pPr>
      <w:r>
        <w:rPr>
          <w:rFonts w:ascii="Calibri" w:hAnsi="Calibri"/>
          <w:color w:val="17221D"/>
        </w:rPr>
        <w:t>Internetzoeken staat standaard uit en vereist expliciete bevestiging per gebruik.</w:t>
      </w:r>
    </w:p>
    <w:p>
      <w:pPr>
        <w:pStyle w:val="ListBullet"/>
        <w:spacing w:after="80"/>
        <w:ind w:left="720" w:hanging="360"/>
      </w:pPr>
      <w:r>
        <w:rPr>
          <w:rFonts w:ascii="Calibri" w:hAnsi="Calibri"/>
          <w:color w:val="17221D"/>
        </w:rPr>
        <w:t>De Search API Privacy Notice wordt gecontroleerd, waaronder de maximale querybewaring van 90 dagen.</w:t>
      </w:r>
    </w:p>
    <w:p>
      <w:pPr>
        <w:pStyle w:val="ListBullet"/>
        <w:spacing w:after="80"/>
        <w:ind w:left="720" w:hanging="360"/>
      </w:pPr>
      <w:r>
        <w:rPr>
          <w:rFonts w:ascii="Calibri" w:hAnsi="Calibri"/>
          <w:color w:val="17221D"/>
        </w:rPr>
        <w:t>Brave blijft uitgesloten voor namen, medische gegevens, gesprekstekst en andere persoonsgegevens.</w:t>
      </w:r>
    </w:p>
    <w:p>
      <w:pPr>
        <w:pStyle w:val="ListBullet"/>
        <w:spacing w:after="80"/>
        <w:ind w:left="720" w:hanging="360"/>
      </w:pPr>
      <w:r>
        <w:rPr>
          <w:rFonts w:ascii="Calibri" w:hAnsi="Calibri"/>
          <w:color w:val="17221D"/>
        </w:rPr>
        <w:t>Als de voorwaarden niet langer passen bij dit beleid, wordt internetzoeken uitgeschakeld.</w:t>
      </w:r>
    </w:p>
    <w:p>
      <w:pPr>
        <w:pStyle w:val="Heading1"/>
      </w:pPr>
      <w:r>
        <w:t>6. Wijzigingen en besluitvorming</w:t>
      </w:r>
    </w:p>
    <w:p>
      <w:pPr>
        <w:pStyle w:val="ListNumber"/>
        <w:spacing w:after="100"/>
        <w:ind w:left="720" w:hanging="360"/>
      </w:pPr>
      <w:r>
        <w:rPr>
          <w:rFonts w:ascii="Calibri" w:hAnsi="Calibri"/>
          <w:color w:val="17221D"/>
        </w:rPr>
        <w:t>Classificeer de wijziging als niet-materieel, materieel of blokkerend.</w:t>
      </w:r>
    </w:p>
    <w:p>
      <w:pPr>
        <w:pStyle w:val="ListNumber"/>
        <w:spacing w:after="100"/>
        <w:ind w:left="720" w:hanging="360"/>
      </w:pPr>
      <w:r>
        <w:rPr>
          <w:rFonts w:ascii="Calibri" w:hAnsi="Calibri"/>
          <w:color w:val="17221D"/>
        </w:rPr>
        <w:t>Beoordeel effect op gegevenslocatie, toegang, retentie, subverwerkers, beveiliging en kosten.</w:t>
      </w:r>
    </w:p>
    <w:p>
      <w:pPr>
        <w:pStyle w:val="ListNumber"/>
        <w:spacing w:after="100"/>
        <w:ind w:left="720" w:hanging="360"/>
      </w:pPr>
      <w:r>
        <w:rPr>
          <w:rFonts w:ascii="Calibri" w:hAnsi="Calibri"/>
          <w:color w:val="17221D"/>
        </w:rPr>
        <w:t>Informeer praktijken bij een materiële wijziging voordat deze de verwerking raakt, voor zover redelijk mogelijk.</w:t>
      </w:r>
    </w:p>
    <w:p>
      <w:pPr>
        <w:pStyle w:val="ListNumber"/>
        <w:spacing w:after="100"/>
        <w:ind w:left="720" w:hanging="360"/>
      </w:pPr>
      <w:r>
        <w:rPr>
          <w:rFonts w:ascii="Calibri" w:hAnsi="Calibri"/>
          <w:color w:val="17221D"/>
        </w:rPr>
        <w:t>Werk DPIA, risicoanalyse, privacyinformatie en verwerkersovereenkomst bij wanneer nodig.</w:t>
      </w:r>
    </w:p>
    <w:p>
      <w:pPr>
        <w:pStyle w:val="ListNumber"/>
        <w:spacing w:after="100"/>
        <w:ind w:left="720" w:hanging="360"/>
      </w:pPr>
      <w:r>
        <w:rPr>
          <w:rFonts w:ascii="Calibri" w:hAnsi="Calibri"/>
          <w:color w:val="17221D"/>
        </w:rPr>
        <w:t>Schakel een functie uit of pauzeer gebruik wanneer een risico niet voldoende kan worden beheerst.</w:t>
      </w:r>
    </w:p>
    <w:p>
      <w:pPr>
        <w:pStyle w:val="Heading1"/>
      </w:pPr>
      <w:r>
        <w:t>7. Bewijsdossier</w:t>
      </w:r>
    </w:p>
    <w:p>
      <w:r>
        <w:rPr>
          <w:rFonts w:ascii="Calibri" w:hAnsi="Calibri"/>
          <w:color w:val="17221D"/>
        </w:rPr>
        <w:t>Bewaar per controle datum, uitvoerder, geraadpleegde versies, links of bestanden, bevindingen, besluit, eigenaar van vervolgacties en sluitdatum. Bewaar geen patiëntinhoud in het leveranciersdossier.</w:t>
      </w:r>
    </w:p>
    <w:p>
      <w:pPr>
        <w:pStyle w:val="Heading1"/>
      </w:pPr>
      <w:r>
        <w:t>Bronnen en referenties</w:t>
      </w:r>
    </w:p>
    <w:p>
      <w:r>
        <w:rPr>
          <w:rFonts w:ascii="Calibri" w:hAnsi="Calibri"/>
          <w:color w:val="17221D"/>
        </w:rPr>
        <w:t>Controleer bij definitieve vaststelling of onderstaande bronnen en contractversies nog actueel zijn.</w:t>
      </w:r>
    </w:p>
    <w:p>
      <w:pPr>
        <w:pStyle w:val="ListBullet"/>
        <w:ind w:left="720" w:hanging="360"/>
      </w:pPr>
      <w:hyperlink r:id="rId12">
        <w:r>
          <w:rPr>
            <w:color w:val="1155CC"/>
            <w:u w:val="single"/>
          </w:rPr>
          <w:t>Scaleway - contracten en voorwaarden</w:t>
        </w:r>
      </w:hyperlink>
    </w:p>
    <w:p>
      <w:pPr>
        <w:pStyle w:val="ListBullet"/>
        <w:ind w:left="720" w:hanging="360"/>
      </w:pPr>
      <w:hyperlink r:id="rId13">
        <w:r>
          <w:rPr>
            <w:color w:val="1155CC"/>
            <w:u w:val="single"/>
          </w:rPr>
          <w:t>Scaleway Data Processing Agreement</w:t>
        </w:r>
      </w:hyperlink>
    </w:p>
    <w:p>
      <w:pPr>
        <w:pStyle w:val="ListBullet"/>
        <w:ind w:left="720" w:hanging="360"/>
      </w:pPr>
      <w:hyperlink r:id="rId14">
        <w:r>
          <w:rPr>
            <w:color w:val="1155CC"/>
            <w:u w:val="single"/>
          </w:rPr>
          <w:t>Scaleway - technische en organisatorische maatregelen</w:t>
        </w:r>
      </w:hyperlink>
    </w:p>
    <w:p>
      <w:pPr>
        <w:pStyle w:val="ListBullet"/>
        <w:ind w:left="720" w:hanging="360"/>
      </w:pPr>
      <w:hyperlink r:id="rId15">
        <w:r>
          <w:rPr>
            <w:color w:val="1155CC"/>
            <w:u w:val="single"/>
          </w:rPr>
          <w:t>Scaleway Trust Center - ISO-certificaat en auditbewijs</w:t>
        </w:r>
      </w:hyperlink>
    </w:p>
    <w:p>
      <w:pPr>
        <w:pStyle w:val="ListBullet"/>
        <w:ind w:left="720" w:hanging="360"/>
      </w:pPr>
      <w:hyperlink r:id="rId16">
        <w:r>
          <w:rPr>
            <w:color w:val="1155CC"/>
            <w:u w:val="single"/>
          </w:rPr>
          <w:t>Scaleway Generative APIs - gegevensbescherming</w:t>
        </w:r>
      </w:hyperlink>
    </w:p>
    <w:p>
      <w:pPr>
        <w:pStyle w:val="ListBullet"/>
        <w:ind w:left="720" w:hanging="360"/>
      </w:pPr>
      <w:hyperlink r:id="rId17">
        <w:r>
          <w:rPr>
            <w:color w:val="1155CC"/>
            <w:u w:val="single"/>
          </w:rPr>
          <w:t>Scaleway Generative APIs FAQ - locatie inference</w:t>
        </w:r>
      </w:hyperlink>
    </w:p>
    <w:p>
      <w:pPr>
        <w:pStyle w:val="ListBullet"/>
        <w:ind w:left="720" w:hanging="360"/>
      </w:pPr>
      <w:hyperlink r:id="rId18">
        <w:r>
          <w:rPr>
            <w:color w:val="1155CC"/>
            <w:u w:val="single"/>
          </w:rPr>
          <w:t>Scaleway - lijst van subverwerkers</w:t>
        </w:r>
      </w:hyperlink>
    </w:p>
    <w:p>
      <w:pPr>
        <w:pStyle w:val="ListBullet"/>
        <w:ind w:left="720" w:hanging="360"/>
      </w:pPr>
      <w:hyperlink r:id="rId19">
        <w:r>
          <w:rPr>
            <w:color w:val="1155CC"/>
            <w:u w:val="single"/>
          </w:rPr>
          <w:t>Brave Search API Privacy Notice</w:t>
        </w:r>
      </w:hyperlink>
    </w:p>
    <w:p>
      <w:pPr>
        <w:pStyle w:val="ListBullet"/>
        <w:ind w:left="720" w:hanging="360"/>
      </w:pPr>
      <w:hyperlink r:id="rId20">
        <w:r>
          <w:rPr>
            <w:color w:val="1155CC"/>
            <w:u w:val="single"/>
          </w:rPr>
          <w:t>Google Privacy Policy</w:t>
        </w:r>
      </w:hyperlink>
    </w:p>
    <w:sectPr>
      <w:headerReference w:type="default" r:id="rId9"/>
      <w:footerReference w:type="default" r:id="rId10"/>
      <w:pgSz w:w="12240" w:h="15840"/>
      <w:pgMar w:top="1181" w:right="1440" w:bottom="1123" w:left="1440" w:header="504" w:footer="504"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spacing w:before="40" w:after="0"/>
      <w:jc w:val="center"/>
    </w:pPr>
    <w:r>
      <w:rPr>
        <w:rFonts w:ascii="Calibri" w:hAnsi="Calibri"/>
        <w:color w:val="5C6A63"/>
        <w:sz w:val="16"/>
      </w:rPr>
      <w:t xml:space="preserve">ZorgTekstAI | CONCEPT | versie 0.1 | 23 juli 2026 | pagina </w:t>
    </w:r>
    <w:r>
      <w:fldChar w:fldCharType="begin"/>
      <w:instrText xml:space="preserve"> PAGE </w:instrText>
      <w:fldChar w:fldCharType="separate"/>
      <w:t>1</w:t>
      <w:fldChar w:fldCharType="end"/>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tbl>
    <w:tblPr>
      <w:tblW w:type="dxa" w:w="9360"/>
      <w:jc w:val="left"/>
      <w:tblLayout w:type="fixed"/>
      <w:tblLook w:firstColumn="1" w:firstRow="1" w:lastColumn="0" w:lastRow="0" w:noHBand="0" w:noVBand="1" w:val="04A0"/>
      <w:tblInd w:w="0" w:type="dxa"/>
    </w:tblPr>
    <w:tblGrid>
      <w:gridCol w:w="2500"/>
      <w:gridCol w:w="6860"/>
    </w:tblGrid>
    <w:tr>
      <w:tc>
        <w:tcPr>
          <w:tcW w:type="dxa" w:w="2500"/>
          <w:vAlign w:val="center"/>
          <w:tcMar>
            <w:top w:w="100" w:type="dxa"/>
            <w:start w:w="120" w:type="dxa"/>
            <w:bottom w:w="100" w:type="dxa"/>
            <w:end w:w="120" w:type="dxa"/>
          </w:tcMar>
          <w:tcBorders>
            <w:bottom w:val="single" w:sz="5" w:space="0" w:color="D7DED9"/>
          </w:tcBorders>
        </w:tcPr>
        <w:p>
          <w:pPr>
            <w:spacing w:after="40"/>
          </w:pPr>
          <w:r>
            <w:drawing>
              <wp:inline xmlns:a="http://schemas.openxmlformats.org/drawingml/2006/main" xmlns:pic="http://schemas.openxmlformats.org/drawingml/2006/picture">
                <wp:extent cx="1325880" cy="410090"/>
                <wp:docPr id="1" name="Picture 1"/>
                <wp:cNvGraphicFramePr>
                  <a:graphicFrameLocks noChangeAspect="1"/>
                </wp:cNvGraphicFramePr>
                <a:graphic>
                  <a:graphicData uri="http://schemas.openxmlformats.org/drawingml/2006/picture">
                    <pic:pic>
                      <pic:nvPicPr>
                        <pic:cNvPr id="0" name="zorgtekstai-logo.png"/>
                        <pic:cNvPicPr/>
                      </pic:nvPicPr>
                      <pic:blipFill>
                        <a:blip r:embed="rId1"/>
                        <a:stretch>
                          <a:fillRect/>
                        </a:stretch>
                      </pic:blipFill>
                      <pic:spPr>
                        <a:xfrm>
                          <a:off x="0" y="0"/>
                          <a:ext cx="1325880" cy="410090"/>
                        </a:xfrm>
                        <a:prstGeom prst="rect"/>
                      </pic:spPr>
                    </pic:pic>
                  </a:graphicData>
                </a:graphic>
              </wp:inline>
            </w:drawing>
          </w:r>
        </w:p>
      </w:tc>
      <w:tc>
        <w:tcPr>
          <w:tcW w:type="dxa" w:w="6860"/>
          <w:vAlign w:val="center"/>
          <w:tcMar>
            <w:top w:w="100" w:type="dxa"/>
            <w:start w:w="120" w:type="dxa"/>
            <w:bottom w:w="100" w:type="dxa"/>
            <w:end w:w="120" w:type="dxa"/>
          </w:tcMar>
          <w:tcBorders>
            <w:bottom w:val="single" w:sz="5" w:space="0" w:color="D7DED9"/>
          </w:tcBorders>
        </w:tcPr>
        <w:p>
          <w:pPr>
            <w:spacing w:after="40"/>
            <w:jc w:val="right"/>
          </w:pPr>
          <w:r>
            <w:rPr>
              <w:rFonts w:ascii="Calibri" w:hAnsi="Calibri"/>
              <w:b/>
              <w:color w:val="073E2A"/>
              <w:sz w:val="17"/>
            </w:rPr>
            <w:t>Leveranciers- en contractcontroleprocedure</w:t>
          </w:r>
        </w:p>
      </w:tc>
    </w:tr>
  </w:tbl>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20" w:line="264" w:lineRule="auto"/>
    </w:pPr>
    <w:rPr>
      <w:rFonts w:ascii="Calibri" w:hAnsi="Calibri"/>
      <w:color w:val="17221D"/>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300" w:after="140"/>
      <w:outlineLvl w:val="0"/>
    </w:pPr>
    <w:rPr>
      <w:rFonts w:asciiTheme="majorHAnsi" w:eastAsiaTheme="majorEastAsia" w:hAnsiTheme="majorHAnsi" w:cstheme="majorBidi" w:ascii="Calibri" w:hAnsi="Calibri"/>
      <w:b/>
      <w:bCs/>
      <w:color w:val="0B5D3B"/>
      <w:sz w:val="32"/>
      <w:szCs w:val="28"/>
    </w:rPr>
  </w:style>
  <w:style w:type="paragraph" w:styleId="Heading2">
    <w:name w:val="heading 2"/>
    <w:basedOn w:val="Normal"/>
    <w:next w:val="Normal"/>
    <w:link w:val="Heading2Char"/>
    <w:uiPriority w:val="9"/>
    <w:unhideWhenUsed/>
    <w:qFormat/>
    <w:rsid w:val="00FC693F"/>
    <w:pPr>
      <w:keepNext/>
      <w:keepLines/>
      <w:spacing w:before="220" w:after="100"/>
      <w:outlineLvl w:val="1"/>
    </w:pPr>
    <w:rPr>
      <w:rFonts w:asciiTheme="majorHAnsi" w:eastAsiaTheme="majorEastAsia" w:hAnsiTheme="majorHAnsi" w:cstheme="majorBidi" w:ascii="Calibri" w:hAnsi="Calibri"/>
      <w:b/>
      <w:bCs/>
      <w:color w:val="0B5D3B"/>
      <w:sz w:val="26"/>
      <w:szCs w:val="26"/>
    </w:rPr>
  </w:style>
  <w:style w:type="paragraph" w:styleId="Heading3">
    <w:name w:val="heading 3"/>
    <w:basedOn w:val="Normal"/>
    <w:next w:val="Normal"/>
    <w:link w:val="Heading3Char"/>
    <w:uiPriority w:val="9"/>
    <w:unhideWhenUsed/>
    <w:qFormat/>
    <w:rsid w:val="00FC693F"/>
    <w:pPr>
      <w:keepNext/>
      <w:keepLines/>
      <w:spacing w:before="160" w:after="60"/>
      <w:outlineLvl w:val="2"/>
    </w:pPr>
    <w:rPr>
      <w:rFonts w:asciiTheme="majorHAnsi" w:eastAsiaTheme="majorEastAsia" w:hAnsiTheme="majorHAnsi" w:cstheme="majorBidi" w:ascii="Calibri" w:hAnsi="Calibri"/>
      <w:b/>
      <w:bCs/>
      <w:color w:val="073E2A"/>
      <w:sz w:val="23"/>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spacing w:after="80" w:line="264" w:lineRule="auto"/>
      <w:contextualSpacing/>
    </w:pPr>
    <w:rPr>
      <w:rFonts w:ascii="Calibri" w:hAnsi="Calibri"/>
      <w:sz w:val="21"/>
    </w:r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spacing w:after="80" w:line="264" w:lineRule="auto"/>
      <w:contextualSpacing/>
    </w:pPr>
    <w:rPr>
      <w:rFonts w:ascii="Calibri" w:hAnsi="Calibri"/>
      <w:sz w:val="21"/>
    </w:r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 Id="rId11" Type="http://schemas.openxmlformats.org/officeDocument/2006/relationships/image" Target="media/image1.png"/><Relationship Id="rId12" Type="http://schemas.openxmlformats.org/officeDocument/2006/relationships/hyperlink" Target="https://www.scaleway.com/en/contracts/" TargetMode="External"/><Relationship Id="rId13" Type="http://schemas.openxmlformats.org/officeDocument/2006/relationships/hyperlink" Target="https://www-uploads.scaleway.com/DPA_2024_ENG_b0abb5cc26.pdf" TargetMode="External"/><Relationship Id="rId14" Type="http://schemas.openxmlformats.org/officeDocument/2006/relationships/hyperlink" Target="https://www-uploads.scaleway.com/Technical_and_Organizational_Measures_v17072024_a74508104e.pdf" TargetMode="External"/><Relationship Id="rId15" Type="http://schemas.openxmlformats.org/officeDocument/2006/relationships/hyperlink" Target="https://security.scaleway.com/?itemUid=1fed9faa-4a87-427c-9a95-96b4d6bf66b7" TargetMode="External"/><Relationship Id="rId16" Type="http://schemas.openxmlformats.org/officeDocument/2006/relationships/hyperlink" Target="https://www.scaleway.com/en/docs/generative-apis/reference-content/data-privacy/" TargetMode="External"/><Relationship Id="rId17" Type="http://schemas.openxmlformats.org/officeDocument/2006/relationships/hyperlink" Target="https://www.scaleway.com/en/docs/generative-apis/faq/" TargetMode="External"/><Relationship Id="rId18" Type="http://schemas.openxmlformats.org/officeDocument/2006/relationships/hyperlink" Target="https://www.scaleway.com/en/subprocessorlist/" TargetMode="External"/><Relationship Id="rId19" Type="http://schemas.openxmlformats.org/officeDocument/2006/relationships/hyperlink" Target="https://api-dashboard.search.brave.com/privacy-policy" TargetMode="External"/><Relationship Id="rId20" Type="http://schemas.openxmlformats.org/officeDocument/2006/relationships/hyperlink" Target="https://policies.google.com/privacy"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2013-12-23T23:15:00Z</dcterms:created>
  <dcterms:modified xsi:type="dcterms:W3CDTF">2013-12-23T23:15:00Z</dcterms:modified>
  <cp:category/>
</cp:coreProperties>
</file>