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80"/>
        <w:jc w:val="left"/>
      </w:pPr>
      <w:r>
        <w:drawing>
          <wp:inline xmlns:a="http://schemas.openxmlformats.org/drawingml/2006/main" xmlns:pic="http://schemas.openxmlformats.org/drawingml/2006/picture">
            <wp:extent cx="2423160" cy="749476"/>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1"/>
                    <a:stretch>
                      <a:fillRect/>
                    </a:stretch>
                  </pic:blipFill>
                  <pic:spPr>
                    <a:xfrm>
                      <a:off x="0" y="0"/>
                      <a:ext cx="2423160" cy="749476"/>
                    </a:xfrm>
                    <a:prstGeom prst="rect"/>
                  </pic:spPr>
                </pic:pic>
              </a:graphicData>
            </a:graphic>
          </wp:inline>
        </w:drawing>
      </w:r>
    </w:p>
    <w:p>
      <w:pPr>
        <w:spacing w:after="40"/>
      </w:pPr>
      <w:r>
        <w:rPr>
          <w:rFonts w:ascii="Calibri" w:hAnsi="Calibri"/>
          <w:b/>
          <w:color w:val="6E5100"/>
          <w:sz w:val="18"/>
        </w:rPr>
        <w:t>CONCEPT - TER BEOORDELING</w:t>
      </w:r>
    </w:p>
    <w:p>
      <w:pPr>
        <w:spacing w:after="60"/>
      </w:pPr>
      <w:r>
        <w:rPr>
          <w:rFonts w:ascii="Calibri" w:hAnsi="Calibri"/>
          <w:b/>
          <w:color w:val="073E2A"/>
          <w:sz w:val="48"/>
        </w:rPr>
        <w:t>Periodieke evaluatie- en wijzigingsprocedure</w:t>
      </w:r>
    </w:p>
    <w:p>
      <w:pPr>
        <w:spacing w:after="280"/>
      </w:pPr>
      <w:r>
        <w:rPr>
          <w:rFonts w:ascii="Calibri" w:hAnsi="Calibri"/>
          <w:color w:val="5C6A63"/>
          <w:sz w:val="25"/>
        </w:rPr>
        <w:t>Jaarlijkse beoordeling door Marinus den Breejen</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Documenteigenaar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Marinus den Breejen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Versie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0.1</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Datum concept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2026</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Volgende beoordeling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2027</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CONCEPT - ter beoordeling</w:t>
            </w:r>
          </w:p>
        </w:tc>
      </w:tr>
    </w:tbl>
    <w:p>
      <w:pPr>
        <w:spacing w:after="2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FF4D6"/>
            <w:tcBorders>
              <w:top w:val="single" w:sz="2" w:space="0" w:color="FFF4D6"/>
              <w:start w:val="single" w:sz="18" w:space="0" w:color="6E5100"/>
              <w:bottom w:val="single" w:sz="2" w:space="0" w:color="FFF4D6"/>
              <w:end w:val="single" w:sz="2" w:space="0" w:color="FFF4D6"/>
            </w:tcBorders>
          </w:tcPr>
          <w:p>
            <w:pPr>
              <w:spacing w:after="40"/>
            </w:pPr>
            <w:r>
              <w:rPr>
                <w:rFonts w:ascii="Calibri" w:hAnsi="Calibri"/>
                <w:b/>
                <w:color w:val="6E5100"/>
                <w:sz w:val="20"/>
              </w:rPr>
              <w:t>Conceptstatus</w:t>
            </w:r>
          </w:p>
          <w:p>
            <w:pPr>
              <w:spacing w:after="0"/>
            </w:pPr>
            <w:r>
              <w:rPr>
                <w:rFonts w:ascii="Calibri" w:hAnsi="Calibri"/>
                <w:color w:val="17221D"/>
                <w:sz w:val="19"/>
              </w:rPr>
              <w:t>Dit document is een bewerkbaar concept. De betrokken praktijk moet de invulvelden aanpassen, de feitelijke inrichting controleren en het document laten goedkeuren door de bevoegde bestuurder. Waar passend is beoordeling door een privacy- of juridisch deskundige aanbevolen.</w:t>
            </w:r>
          </w:p>
        </w:tc>
      </w:tr>
    </w:tbl>
    <w:p>
      <w:pPr>
        <w:spacing w:after="20"/>
      </w:pPr>
    </w:p>
    <w:p>
      <w:pPr>
        <w:pStyle w:val="Heading1"/>
      </w:pPr>
      <w:r>
        <w:t>1. Evaluatiefrequentie</w:t>
      </w:r>
    </w:p>
    <w:p>
      <w:r>
        <w:rPr>
          <w:rFonts w:ascii="Calibri" w:hAnsi="Calibri"/>
          <w:color w:val="17221D"/>
        </w:rPr>
        <w:t>Marinus den Breejen voert minimaal jaarlijks een centrale evaluatie uit. De eerstvolgende reguliere evaluatie staat gepland op 23 juli 2027. Praktijken beoordelen daarnaast hun lokale gebruik en incidenten.</w:t>
      </w:r>
    </w:p>
    <w:p>
      <w:pPr>
        <w:pStyle w:val="Heading1"/>
      </w:pPr>
      <w:r>
        <w:t>2. Tussentijdse triggers</w:t>
      </w:r>
    </w:p>
    <w:p>
      <w:pPr>
        <w:pStyle w:val="ListBullet"/>
        <w:spacing w:after="80"/>
        <w:ind w:left="720" w:hanging="360"/>
      </w:pPr>
      <w:r>
        <w:rPr>
          <w:rFonts w:ascii="Calibri" w:hAnsi="Calibri"/>
          <w:color w:val="17221D"/>
        </w:rPr>
        <w:t>Nieuw of vervangen AI-model.</w:t>
      </w:r>
    </w:p>
    <w:p>
      <w:pPr>
        <w:pStyle w:val="ListBullet"/>
        <w:spacing w:after="80"/>
        <w:ind w:left="720" w:hanging="360"/>
      </w:pPr>
      <w:r>
        <w:rPr>
          <w:rFonts w:ascii="Calibri" w:hAnsi="Calibri"/>
          <w:color w:val="17221D"/>
        </w:rPr>
        <w:t>Wijziging van beoogd gebruik of toevoeging van patiëntspecifieke aanbevelingen.</w:t>
      </w:r>
    </w:p>
    <w:p>
      <w:pPr>
        <w:pStyle w:val="ListBullet"/>
        <w:spacing w:after="80"/>
        <w:ind w:left="720" w:hanging="360"/>
      </w:pPr>
      <w:r>
        <w:rPr>
          <w:rFonts w:ascii="Calibri" w:hAnsi="Calibri"/>
          <w:color w:val="17221D"/>
        </w:rPr>
        <w:t>Nieuwe opslag, logging, analysetool, integratie, regio of subverwerker.</w:t>
      </w:r>
    </w:p>
    <w:p>
      <w:pPr>
        <w:pStyle w:val="ListBullet"/>
        <w:spacing w:after="80"/>
        <w:ind w:left="720" w:hanging="360"/>
      </w:pPr>
      <w:r>
        <w:rPr>
          <w:rFonts w:ascii="Calibri" w:hAnsi="Calibri"/>
          <w:color w:val="17221D"/>
        </w:rPr>
        <w:t>Wijziging van bewaartermijnen of uitzonderlijke debugverwerking.</w:t>
      </w:r>
    </w:p>
    <w:p>
      <w:pPr>
        <w:pStyle w:val="ListBullet"/>
        <w:spacing w:after="80"/>
        <w:ind w:left="720" w:hanging="360"/>
      </w:pPr>
      <w:r>
        <w:rPr>
          <w:rFonts w:ascii="Calibri" w:hAnsi="Calibri"/>
          <w:color w:val="17221D"/>
        </w:rPr>
        <w:t>Ernstig privacy-, beveiligings- of patiëntveiligheidsincident.</w:t>
      </w:r>
    </w:p>
    <w:p>
      <w:pPr>
        <w:pStyle w:val="ListBullet"/>
        <w:spacing w:after="80"/>
        <w:ind w:left="720" w:hanging="360"/>
      </w:pPr>
      <w:r>
        <w:rPr>
          <w:rFonts w:ascii="Calibri" w:hAnsi="Calibri"/>
          <w:color w:val="17221D"/>
        </w:rPr>
        <w:t>Materiële wijziging van AVG, AI Act, MDR, NEN 7510 of relevante zorgnormen.</w:t>
      </w:r>
    </w:p>
    <w:p>
      <w:pPr>
        <w:pStyle w:val="ListBullet"/>
        <w:spacing w:after="80"/>
        <w:ind w:left="720" w:hanging="360"/>
      </w:pPr>
      <w:r>
        <w:rPr>
          <w:rFonts w:ascii="Calibri" w:hAnsi="Calibri"/>
          <w:color w:val="17221D"/>
        </w:rPr>
        <w:t>Herhaalde gebruikersfouten of onvoldoende effect van bestaande waarschuwingen.</w:t>
      </w:r>
    </w:p>
    <w:p>
      <w:pPr>
        <w:pStyle w:val="Heading1"/>
      </w:pPr>
      <w:r>
        <w:t>3. Jaarlijkse evaluatieonderdelen</w:t>
      </w:r>
    </w:p>
    <w:tbl>
      <w:tblPr>
        <w:tblW w:type="dxa" w:w="9360"/>
        <w:jc w:val="left"/>
        <w:tblLayout w:type="fixed"/>
        <w:tblLook w:firstColumn="1" w:firstRow="1" w:lastColumn="0" w:lastRow="0" w:noHBand="0" w:noVBand="1" w:val="04A0"/>
        <w:tblInd w:w="120" w:type="dxa"/>
      </w:tblPr>
      <w:tblGrid>
        <w:gridCol w:w="600"/>
        <w:gridCol w:w="8760"/>
      </w:tblGrid>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Doel en gebruiksgrenzen sluiten nog aan bij de feitelijke functies.</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Alle AI-uitkomsten zijn nog zichtbaar als AI-concept.</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Praktijken hebben actuele, getekende documenten.</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Gebruikers en allowlist zijn actueel.</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Idle-time-out, sessieduur en vertrouwd-apparaatverklaring werken volgens beleid.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Audit bevat geen inhoud en bewaart maximaal 180 dagen.</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Templates en bronnenlijsten bevatten geen patiëntgegevens.</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Audio wordt na gebruik uit de browser verwijderd en downloadwaarschuwing is zichtbaar.</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Internetzoeken vereist expliciete bevestiging en bevat geen patiëntgegevens.</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Leveranciersvoorwaarden, regio's, certificaten en subverwerkers zijn gecontroleerd.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Incidenten, klachten en structurele AI-fouten zijn geëvalueerd.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Gebruikersinstructie en AI-geletterdheid zijn aantoonbaar bijgewerkt.</w:t>
            </w:r>
          </w:p>
        </w:tc>
      </w:tr>
    </w:tbl>
    <w:p>
      <w:pPr>
        <w:spacing w:after="20"/>
      </w:pPr>
    </w:p>
    <w:p>
      <w:pPr>
        <w:pStyle w:val="Heading1"/>
      </w:pPr>
      <w:r>
        <w:t>4. Wijzigingsclassificatie</w:t>
      </w:r>
    </w:p>
    <w:tbl>
      <w:tblPr>
        <w:tblW w:type="dxa" w:w="9360"/>
        <w:jc w:val="left"/>
        <w:tblLayout w:type="fixed"/>
        <w:tblLook w:firstColumn="1" w:firstRow="1" w:lastColumn="0" w:lastRow="0" w:noHBand="0" w:noVBand="1" w:val="04A0"/>
        <w:tblInd w:w="120" w:type="dxa"/>
      </w:tblPr>
      <w:tblGrid>
        <w:gridCol w:w="1500"/>
        <w:gridCol w:w="3800"/>
        <w:gridCol w:w="4060"/>
      </w:tblGrid>
      <w:tr>
        <w:tc>
          <w:tcPr>
            <w:tcW w:type="dxa" w:w="15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Klasse</w:t>
            </w:r>
          </w:p>
        </w:tc>
        <w:tc>
          <w:tcPr>
            <w:tcW w:type="dxa" w:w="38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Voorbeeld</w:t>
            </w:r>
          </w:p>
        </w:tc>
        <w:tc>
          <w:tcPr>
            <w:tcW w:type="dxa" w:w="406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Vereiste actie</w:t>
            </w:r>
          </w:p>
        </w:tc>
      </w:tr>
      <w:tr>
        <w:tc>
          <w:tcPr>
            <w:tcW w:type="dxa" w:w="15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Klein</w:t>
            </w:r>
          </w:p>
        </w:tc>
        <w:tc>
          <w:tcPr>
            <w:tcW w:type="dxa" w:w="38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Tekstuele verduidelijking zonder gegevens- of functiewijziging.</w:t>
            </w:r>
          </w:p>
        </w:tc>
        <w:tc>
          <w:tcPr>
            <w:tcW w:type="dxa" w:w="40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Testen en documenteren.</w:t>
            </w:r>
          </w:p>
        </w:tc>
      </w:tr>
      <w:tr>
        <w:tc>
          <w:tcPr>
            <w:tcW w:type="dxa" w:w="15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Materieel</w:t>
            </w:r>
          </w:p>
        </w:tc>
        <w:tc>
          <w:tcPr>
            <w:tcW w:type="dxa" w:w="38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Nieuw model, andere provider, retentie- of regiowijziging.</w:t>
            </w:r>
          </w:p>
        </w:tc>
        <w:tc>
          <w:tcPr>
            <w:tcW w:type="dxa" w:w="40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Risicoanalyse en documenten bijwerken vóór productie.</w:t>
            </w:r>
          </w:p>
        </w:tc>
      </w:tr>
      <w:tr>
        <w:tc>
          <w:tcPr>
            <w:tcW w:type="dxa" w:w="15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Blokkerend</w:t>
            </w:r>
          </w:p>
        </w:tc>
        <w:tc>
          <w:tcPr>
            <w:tcW w:type="dxa" w:w="38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Onbeheerste derde-landdoorgifte of autonome klinische beslissing.</w:t>
            </w:r>
          </w:p>
        </w:tc>
        <w:tc>
          <w:tcPr>
            <w:tcW w:type="dxa" w:w="40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Functie/gebruik pauzeren tot goedkeuring.</w:t>
            </w:r>
          </w:p>
        </w:tc>
      </w:tr>
    </w:tbl>
    <w:p>
      <w:pPr>
        <w:spacing w:after="20"/>
      </w:pPr>
    </w:p>
    <w:p>
      <w:pPr>
        <w:pStyle w:val="Heading1"/>
      </w:pPr>
      <w:r>
        <w:t>5. Evaluatieverslag</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Evaluatiedatum</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Uitvoerder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Marinus den Breejen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Betrokken praktijken</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Belangrijkste bevindingen</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Besluit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 voortzetten  ☐ aanpassen  ☐ tijdelijk stoppen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Acties/eigenaren</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Nieuwe evaluatiedatum</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bl>
    <w:p>
      <w:pPr>
        <w:spacing w:after="20"/>
      </w:pPr>
    </w:p>
    <w:p>
      <w:pPr>
        <w:pStyle w:val="Heading1"/>
      </w:pPr>
      <w:r>
        <w:t>Bronnen en referenties</w:t>
      </w:r>
    </w:p>
    <w:p>
      <w:r>
        <w:rPr>
          <w:rFonts w:ascii="Calibri" w:hAnsi="Calibri"/>
          <w:color w:val="17221D"/>
        </w:rPr>
        <w:t>Controleer bij definitieve vaststelling of onderstaande bronnen en contractversies nog actueel zijn.</w:t>
      </w:r>
    </w:p>
    <w:p>
      <w:pPr>
        <w:pStyle w:val="ListBullet"/>
        <w:ind w:left="720" w:hanging="360"/>
      </w:pPr>
      <w:hyperlink r:id="rId12">
        <w:r>
          <w:rPr>
            <w:color w:val="1155CC"/>
            <w:u w:val="single"/>
          </w:rPr>
          <w:t>IGJ - zorgvuldig omgaan met generatieve AI in de zorg</w:t>
        </w:r>
      </w:hyperlink>
    </w:p>
    <w:p>
      <w:pPr>
        <w:pStyle w:val="ListBullet"/>
        <w:ind w:left="720" w:hanging="360"/>
      </w:pPr>
      <w:hyperlink r:id="rId13">
        <w:r>
          <w:rPr>
            <w:color w:val="1155CC"/>
            <w:u w:val="single"/>
          </w:rPr>
          <w:t>IGJ - vragen over NEN 7510</w:t>
        </w:r>
      </w:hyperlink>
    </w:p>
    <w:p>
      <w:pPr>
        <w:pStyle w:val="ListBullet"/>
        <w:ind w:left="720" w:hanging="360"/>
      </w:pPr>
      <w:hyperlink r:id="rId14">
        <w:r>
          <w:rPr>
            <w:color w:val="1155CC"/>
            <w:u w:val="single"/>
          </w:rPr>
          <w:t>Europese Commissie - AI-geletterdheid</w:t>
        </w:r>
      </w:hyperlink>
    </w:p>
    <w:p>
      <w:pPr>
        <w:pStyle w:val="ListBullet"/>
        <w:ind w:left="720" w:hanging="360"/>
      </w:pPr>
      <w:hyperlink r:id="rId15">
        <w:r>
          <w:rPr>
            <w:color w:val="1155CC"/>
            <w:u w:val="single"/>
          </w:rPr>
          <w:t>Scaleway - contracten en voorwaarden</w:t>
        </w:r>
      </w:hyperlink>
    </w:p>
    <w:sectPr>
      <w:headerReference w:type="default" r:id="rId9"/>
      <w:footerReference w:type="default" r:id="rId10"/>
      <w:pgSz w:w="12240" w:h="15840"/>
      <w:pgMar w:top="1181" w:right="1440" w:bottom="1123" w:left="1440"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40" w:after="0"/>
      <w:jc w:val="center"/>
    </w:pPr>
    <w:r>
      <w:rPr>
        <w:rFonts w:ascii="Calibri" w:hAnsi="Calibri"/>
        <w:color w:val="5C6A63"/>
        <w:sz w:val="16"/>
      </w:rPr>
      <w:t xml:space="preserve">ZorgTekstAI | CONCEPT | versie 0.1 | 23 juli 2026 | pagina </w:t>
    </w:r>
    <w: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dxa" w:w="9360"/>
      <w:jc w:val="left"/>
      <w:tblLayout w:type="fixed"/>
      <w:tblLook w:firstColumn="1" w:firstRow="1" w:lastColumn="0" w:lastRow="0" w:noHBand="0" w:noVBand="1" w:val="04A0"/>
      <w:tblInd w:w="0" w:type="dxa"/>
    </w:tblPr>
    <w:tblGrid>
      <w:gridCol w:w="2500"/>
      <w:gridCol w:w="6860"/>
    </w:tblGrid>
    <w:tr>
      <w:tc>
        <w:tcPr>
          <w:tcW w:type="dxa" w:w="2500"/>
          <w:vAlign w:val="center"/>
          <w:tcMar>
            <w:top w:w="100" w:type="dxa"/>
            <w:start w:w="120" w:type="dxa"/>
            <w:bottom w:w="100" w:type="dxa"/>
            <w:end w:w="120" w:type="dxa"/>
          </w:tcMar>
          <w:tcBorders>
            <w:bottom w:val="single" w:sz="5" w:space="0" w:color="D7DED9"/>
          </w:tcBorders>
        </w:tcPr>
        <w:p>
          <w:pPr>
            <w:spacing w:after="40"/>
          </w:pPr>
          <w:r>
            <w:drawing>
              <wp:inline xmlns:a="http://schemas.openxmlformats.org/drawingml/2006/main" xmlns:pic="http://schemas.openxmlformats.org/drawingml/2006/picture">
                <wp:extent cx="1325880" cy="410090"/>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
                        <a:stretch>
                          <a:fillRect/>
                        </a:stretch>
                      </pic:blipFill>
                      <pic:spPr>
                        <a:xfrm>
                          <a:off x="0" y="0"/>
                          <a:ext cx="1325880" cy="410090"/>
                        </a:xfrm>
                        <a:prstGeom prst="rect"/>
                      </pic:spPr>
                    </pic:pic>
                  </a:graphicData>
                </a:graphic>
              </wp:inline>
            </w:drawing>
          </w:r>
        </w:p>
      </w:tc>
      <w:tc>
        <w:tcPr>
          <w:tcW w:type="dxa" w:w="6860"/>
          <w:vAlign w:val="center"/>
          <w:tcMar>
            <w:top w:w="100" w:type="dxa"/>
            <w:start w:w="120" w:type="dxa"/>
            <w:bottom w:w="100" w:type="dxa"/>
            <w:end w:w="120" w:type="dxa"/>
          </w:tcMar>
          <w:tcBorders>
            <w:bottom w:val="single" w:sz="5" w:space="0" w:color="D7DED9"/>
          </w:tcBorders>
        </w:tcPr>
        <w:p>
          <w:pPr>
            <w:spacing w:after="40"/>
            <w:jc w:val="right"/>
          </w:pPr>
          <w:r>
            <w:rPr>
              <w:rFonts w:ascii="Calibri" w:hAnsi="Calibri"/>
              <w:b/>
              <w:color w:val="073E2A"/>
              <w:sz w:val="17"/>
            </w:rPr>
            <w:t>Periodieke evaluatie- en wijzigingsprocedure</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4" w:lineRule="auto"/>
    </w:pPr>
    <w:rPr>
      <w:rFonts w:ascii="Calibri" w:hAnsi="Calibri"/>
      <w:color w:val="17221D"/>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00" w:after="140"/>
      <w:outlineLvl w:val="0"/>
    </w:pPr>
    <w:rPr>
      <w:rFonts w:asciiTheme="majorHAnsi" w:eastAsiaTheme="majorEastAsia" w:hAnsiTheme="majorHAnsi" w:cstheme="majorBidi" w:ascii="Calibri" w:hAnsi="Calibri"/>
      <w:b/>
      <w:bCs/>
      <w:color w:val="0B5D3B"/>
      <w:sz w:val="32"/>
      <w:szCs w:val="28"/>
    </w:rPr>
  </w:style>
  <w:style w:type="paragraph" w:styleId="Heading2">
    <w:name w:val="heading 2"/>
    <w:basedOn w:val="Normal"/>
    <w:next w:val="Normal"/>
    <w:link w:val="Heading2Char"/>
    <w:uiPriority w:val="9"/>
    <w:unhideWhenUsed/>
    <w:qFormat/>
    <w:rsid w:val="00FC693F"/>
    <w:pPr>
      <w:keepNext/>
      <w:keepLines/>
      <w:spacing w:before="220" w:after="100"/>
      <w:outlineLvl w:val="1"/>
    </w:pPr>
    <w:rPr>
      <w:rFonts w:asciiTheme="majorHAnsi" w:eastAsiaTheme="majorEastAsia" w:hAnsiTheme="majorHAnsi" w:cstheme="majorBidi" w:ascii="Calibri" w:hAnsi="Calibri"/>
      <w:b/>
      <w:bCs/>
      <w:color w:val="0B5D3B"/>
      <w:sz w:val="26"/>
      <w:szCs w:val="26"/>
    </w:rPr>
  </w:style>
  <w:style w:type="paragraph" w:styleId="Heading3">
    <w:name w:val="heading 3"/>
    <w:basedOn w:val="Normal"/>
    <w:next w:val="Normal"/>
    <w:link w:val="Heading3Char"/>
    <w:uiPriority w:val="9"/>
    <w:unhideWhenUsed/>
    <w:qFormat/>
    <w:rsid w:val="00FC693F"/>
    <w:pPr>
      <w:keepNext/>
      <w:keepLines/>
      <w:spacing w:before="160" w:after="60"/>
      <w:outlineLvl w:val="2"/>
    </w:pPr>
    <w:rPr>
      <w:rFonts w:asciiTheme="majorHAnsi" w:eastAsiaTheme="majorEastAsia" w:hAnsiTheme="majorHAnsi" w:cstheme="majorBidi" w:ascii="Calibri" w:hAnsi="Calibri"/>
      <w:b/>
      <w:bCs/>
      <w:color w:val="073E2A"/>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64" w:lineRule="auto"/>
      <w:contextualSpacing/>
    </w:pPr>
    <w:rPr>
      <w:rFonts w:ascii="Calibri" w:hAnsi="Calibri"/>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64" w:lineRule="auto"/>
      <w:contextualSpacing/>
    </w:pPr>
    <w:rPr>
      <w:rFonts w:ascii="Calibri" w:hAnsi="Calibri"/>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yperlink" Target="https://www.igj.nl/documenten/2025/02/10/igj-roept-zorgaanbieders-op-ga-zorgvuldig-om-met-invoering-van-generatieve-ai-toepassingen" TargetMode="External"/><Relationship Id="rId13" Type="http://schemas.openxmlformats.org/officeDocument/2006/relationships/hyperlink" Target="https://www.igj.nl/vraag-en-antwoord/vragen-over-nen-7510" TargetMode="External"/><Relationship Id="rId14" Type="http://schemas.openxmlformats.org/officeDocument/2006/relationships/hyperlink" Target="https://digital-strategy.ec.europa.eu/en/faqs/ai-literacy-questions-answers" TargetMode="External"/><Relationship Id="rId15" Type="http://schemas.openxmlformats.org/officeDocument/2006/relationships/hyperlink" Target="https://www.scaleway.com/en/contrac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2013-12-23T23:15:00Z</dcterms:created>
  <dcterms:modified xsi:type="dcterms:W3CDTF">2013-12-23T23:15:00Z</dcterms:modified>
  <cp:category/>
</cp:coreProperties>
</file>