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Beheer-, toegangs- en auditprocedure</w:t>
      </w:r>
    </w:p>
    <w:p>
      <w:pPr>
        <w:spacing w:after="280"/>
      </w:pPr>
      <w:r>
        <w:rPr>
          <w:rFonts w:ascii="Calibri" w:hAnsi="Calibri"/>
          <w:color w:val="5C6A63"/>
          <w:sz w:val="25"/>
        </w:rPr>
        <w:t>Rollen, allowlist, sessies en inhoudsvrije beveiligingsaudit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Rollenmodel</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Beheerder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Alleen marinusdenbreejen@gmail.com.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Gebruiker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Vooraf goedgekeurde huisarts of psycholoog met exact toegelaten Google-e-mailadres.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Praktijkbestuurder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Autoriseert lokale gebruikers en meldt wijzigingen aan de beheerder.</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Geen patiënttoegang beheerder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beheerfunctie toont geen documenten, prompts, audio, transcripties of AI-antwoorden.</w:t>
            </w:r>
          </w:p>
        </w:tc>
      </w:tr>
    </w:tbl>
    <w:p>
      <w:pPr>
        <w:spacing w:after="20"/>
      </w:pPr>
    </w:p>
    <w:p>
      <w:pPr>
        <w:pStyle w:val="Heading1"/>
      </w:pPr>
      <w:r>
        <w:t>2. Toegang</w:t>
      </w:r>
    </w:p>
    <w:p>
      <w:pPr>
        <w:pStyle w:val="ListBullet"/>
        <w:spacing w:after="80"/>
        <w:ind w:left="720" w:hanging="360"/>
      </w:pPr>
      <w:r>
        <w:rPr>
          <w:rFonts w:ascii="Calibri" w:hAnsi="Calibri"/>
          <w:color w:val="17221D"/>
        </w:rPr>
        <w:t>Toegang vereist Google-authenticatie en een exacte server-side allowlistcontrole.</w:t>
      </w:r>
    </w:p>
    <w:p>
      <w:pPr>
        <w:pStyle w:val="ListBullet"/>
        <w:spacing w:after="80"/>
        <w:ind w:left="720" w:hanging="360"/>
      </w:pPr>
      <w:r>
        <w:rPr>
          <w:rFonts w:ascii="Calibri" w:hAnsi="Calibri"/>
          <w:color w:val="17221D"/>
        </w:rPr>
        <w:t>De beheerder voegt alleen gebruikers toe na opdracht van de bevoegde praktijk.</w:t>
      </w:r>
    </w:p>
    <w:p>
      <w:pPr>
        <w:pStyle w:val="ListBullet"/>
        <w:spacing w:after="80"/>
        <w:ind w:left="720" w:hanging="360"/>
      </w:pPr>
      <w:r>
        <w:rPr>
          <w:rFonts w:ascii="Calibri" w:hAnsi="Calibri"/>
          <w:color w:val="17221D"/>
        </w:rPr>
        <w:t>De praktijk meldt uitdiensttreding, functiewijziging of verlies van bevoegdheid onmiddellijk.</w:t>
      </w:r>
    </w:p>
    <w:p>
      <w:pPr>
        <w:pStyle w:val="ListBullet"/>
        <w:spacing w:after="80"/>
        <w:ind w:left="720" w:hanging="360"/>
      </w:pPr>
      <w:r>
        <w:rPr>
          <w:rFonts w:ascii="Calibri" w:hAnsi="Calibri"/>
          <w:color w:val="17221D"/>
        </w:rPr>
        <w:t>Persoonlijke Google-accounts blijven toegestaan binnen deze MVP; gebruikers zijn verantwoordelijk voor passende accountbeveiliging.</w:t>
      </w:r>
    </w:p>
    <w:p>
      <w:pPr>
        <w:pStyle w:val="ListBullet"/>
        <w:spacing w:after="80"/>
        <w:ind w:left="720" w:hanging="360"/>
      </w:pPr>
      <w:r>
        <w:rPr>
          <w:rFonts w:ascii="Calibri" w:hAnsi="Calibri"/>
          <w:color w:val="17221D"/>
        </w:rPr>
        <w:t>MFA wordt sterk aanbevolen en is voor het beheerdersaccount de norm.</w:t>
      </w:r>
    </w:p>
    <w:p>
      <w:pPr>
        <w:pStyle w:val="Heading1"/>
      </w:pPr>
      <w:r>
        <w:t>3. Sessies en vertrouwde apparaten</w:t>
      </w:r>
    </w:p>
    <w:p>
      <w:r>
        <w:rPr>
          <w:rFonts w:ascii="Calibri" w:hAnsi="Calibri"/>
          <w:color w:val="17221D"/>
        </w:rPr>
        <w:t>De beleidsmatige standaard-idle-time-out is 20 minuten. Een gebruiker kan verklaren op een vertrouwd apparaat te werken en aanvaardt dan samen met de praktijk verantwoordelijkheid voor de lokale schermvergrendeling. De serversessie mag nooit langer dan acht uur geldig blijven. De technische werking moet vóór productie en na wijzigingen worden getest.</w:t>
      </w:r>
    </w:p>
    <w:p>
      <w:pPr>
        <w:pStyle w:val="Heading1"/>
      </w:pPr>
      <w:r>
        <w:t>4. Beheerrechten</w:t>
      </w:r>
    </w:p>
    <w:p>
      <w:pPr>
        <w:pStyle w:val="ListBullet"/>
        <w:spacing w:after="80"/>
        <w:ind w:left="720" w:hanging="360"/>
      </w:pPr>
      <w:r>
        <w:rPr>
          <w:rFonts w:ascii="Calibri" w:hAnsi="Calibri"/>
          <w:color w:val="17221D"/>
        </w:rPr>
        <w:t>Inhoudsvrije audit raadplegen.</w:t>
      </w:r>
    </w:p>
    <w:p>
      <w:pPr>
        <w:pStyle w:val="ListBullet"/>
        <w:spacing w:after="80"/>
        <w:ind w:left="720" w:hanging="360"/>
      </w:pPr>
      <w:r>
        <w:rPr>
          <w:rFonts w:ascii="Calibri" w:hAnsi="Calibri"/>
          <w:color w:val="17221D"/>
        </w:rPr>
        <w:t>Openbare templates en bronnenlijsten goedkeuren of afwijzen.</w:t>
      </w:r>
    </w:p>
    <w:p>
      <w:pPr>
        <w:pStyle w:val="ListBullet"/>
        <w:spacing w:after="80"/>
        <w:ind w:left="720" w:hanging="360"/>
      </w:pPr>
      <w:r>
        <w:rPr>
          <w:rFonts w:ascii="Calibri" w:hAnsi="Calibri"/>
          <w:color w:val="17221D"/>
        </w:rPr>
        <w:t>Toegang en configuratie beheren.</w:t>
      </w:r>
    </w:p>
    <w:p>
      <w:pPr>
        <w:pStyle w:val="ListBullet"/>
        <w:spacing w:after="80"/>
        <w:ind w:left="720" w:hanging="360"/>
      </w:pPr>
      <w:r>
        <w:rPr>
          <w:rFonts w:ascii="Calibri" w:hAnsi="Calibri"/>
          <w:color w:val="17221D"/>
        </w:rPr>
        <w:t>Geen patiëntinhoud bekijken of opvragen.</w:t>
      </w:r>
    </w:p>
    <w:p>
      <w:pPr>
        <w:pStyle w:val="ListBullet"/>
        <w:spacing w:after="80"/>
        <w:ind w:left="720" w:hanging="360"/>
      </w:pPr>
      <w:r>
        <w:rPr>
          <w:rFonts w:ascii="Calibri" w:hAnsi="Calibri"/>
          <w:color w:val="17221D"/>
        </w:rPr>
        <w:t>Geen AI-uitkomst als beoordeeld of klinisch juist markeren.</w:t>
      </w:r>
    </w:p>
    <w:p>
      <w:pPr>
        <w:pStyle w:val="Heading1"/>
      </w:pPr>
      <w:r>
        <w:t>5. Auditinhoud</w:t>
      </w:r>
    </w:p>
    <w:tbl>
      <w:tblPr>
        <w:tblW w:type="dxa" w:w="9360"/>
        <w:jc w:val="left"/>
        <w:tblLayout w:type="fixed"/>
        <w:tblLook w:firstColumn="1" w:firstRow="1" w:lastColumn="0" w:lastRow="0" w:noHBand="0" w:noVBand="1" w:val="04A0"/>
        <w:tblInd w:w="120" w:type="dxa"/>
      </w:tblPr>
      <w:tblGrid>
        <w:gridCol w:w="4680"/>
        <w:gridCol w:w="4680"/>
      </w:tblGrid>
      <w:tr>
        <w:tc>
          <w:tcPr>
            <w:tcW w:type="dxa" w:w="468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Wel toegestaan</w:t>
            </w:r>
          </w:p>
        </w:tc>
        <w:tc>
          <w:tcPr>
            <w:tcW w:type="dxa" w:w="468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Niet toegestaan</w:t>
            </w:r>
          </w:p>
        </w:tc>
      </w:tr>
      <w:tr>
        <w:tc>
          <w:tcPr>
            <w:tcW w:type="dxa" w:w="468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Datum/tijd, gehashte gebruikers-ID, gebeurtenistype, uitkomst.</w:t>
            </w:r>
          </w:p>
        </w:tc>
        <w:tc>
          <w:tcPr>
            <w:tcW w:type="dxa" w:w="468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Documenten, prompts, antwoorden, audio of transcripties.</w:t>
            </w:r>
          </w:p>
        </w:tc>
      </w:tr>
      <w:tr>
        <w:tc>
          <w:tcPr>
            <w:tcW w:type="dxa" w:w="468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Beperkte metadata zoals handelingstype of intern object-ID.</w:t>
            </w:r>
          </w:p>
        </w:tc>
        <w:tc>
          <w:tcPr>
            <w:tcW w:type="dxa" w:w="468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Namen, medische inhoud, zoektermen of bestandsnamen met patiëntgegevens.</w:t>
            </w:r>
          </w:p>
        </w:tc>
      </w:tr>
      <w:tr>
        <w:tc>
          <w:tcPr>
            <w:tcW w:type="dxa" w:w="468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Login, mislukte login, logout, AI-handeling, opnamehandeling, download, beheerwijziging.</w:t>
            </w:r>
          </w:p>
        </w:tc>
        <w:tc>
          <w:tcPr>
            <w:tcW w:type="dxa" w:w="468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Een inhoudelijke beoordeling of goedkeuring van AI-output.</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EAF5EE"/>
            <w:tcBorders>
              <w:top w:val="single" w:sz="2" w:space="0" w:color="EAF5EE"/>
              <w:start w:val="single" w:sz="18" w:space="0" w:color="073E2A"/>
              <w:bottom w:val="single" w:sz="2" w:space="0" w:color="EAF5EE"/>
              <w:end w:val="single" w:sz="2" w:space="0" w:color="EAF5EE"/>
            </w:tcBorders>
          </w:tcPr>
          <w:p>
            <w:pPr>
              <w:spacing w:after="40"/>
            </w:pPr>
            <w:r>
              <w:rPr>
                <w:rFonts w:ascii="Calibri" w:hAnsi="Calibri"/>
                <w:b/>
                <w:color w:val="073E2A"/>
                <w:sz w:val="20"/>
              </w:rPr>
              <w:t>Bewaartermijn</w:t>
            </w:r>
          </w:p>
          <w:p>
            <w:pPr>
              <w:spacing w:after="0"/>
            </w:pPr>
            <w:r>
              <w:rPr>
                <w:rFonts w:ascii="Calibri" w:hAnsi="Calibri"/>
                <w:color w:val="17221D"/>
                <w:sz w:val="19"/>
              </w:rPr>
              <w:t>Auditgegevens worden maximaal 180 dagen versleuteld bewaard in Scaleway Object Storage in Amsterdam en daarna automatisch verwijderd. Alleen de beheerder kan het overzicht raadplegen.</w:t>
            </w:r>
          </w:p>
        </w:tc>
      </w:tr>
    </w:tbl>
    <w:p>
      <w:pPr>
        <w:spacing w:after="20"/>
      </w:pPr>
    </w:p>
    <w:p>
      <w:pPr>
        <w:pStyle w:val="Heading1"/>
      </w:pPr>
      <w:r>
        <w:t>6. Periodieke controle</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Allowlist en praktijkopdrachten zijn actueel.</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Alleen Marinus den Breejen heeft de beheerdersrol.</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Publieke templates en bronnenlijsten bevatten geen patiëntgegevens.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Auditvelden zijn inhoudsvrij en bewaartermijn werkt.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Sessies, idle-time-out en logout werken zoals beschreven.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Verdachte gebeurtenissen zijn volgens de incidentprocedure opgevolgd.</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vragen over NEN 7510</w:t>
        </w:r>
      </w:hyperlink>
    </w:p>
    <w:p>
      <w:pPr>
        <w:pStyle w:val="ListBullet"/>
        <w:ind w:left="720" w:hanging="360"/>
      </w:pPr>
      <w:hyperlink r:id="rId14">
        <w:r>
          <w:rPr>
            <w:color w:val="1155CC"/>
            <w:u w:val="single"/>
          </w:rPr>
          <w:t>Google Privacy Policy</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Beheer-, toegangs- en auditprocedure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vraag-en-antwoord/vragen-over-nen-7510" TargetMode="External"/><Relationship Id="rId14" Type="http://schemas.openxmlformats.org/officeDocument/2006/relationships/hyperlink" Target="https://policies.google.com/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