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Data Protection Impact Assessment (DPIA)</w:t>
      </w:r>
    </w:p>
    <w:p>
      <w:pPr>
        <w:spacing w:after="280"/>
      </w:pPr>
      <w:r>
        <w:rPr>
          <w:rFonts w:ascii="Calibri" w:hAnsi="Calibri"/>
          <w:color w:val="5C6A63"/>
          <w:sz w:val="25"/>
        </w:rPr>
        <w:t>ZorgTekstAI - verwerking van gezondheidsgegevens met generatieve AI</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Vooraf beoordelen en beheersen van privacyrisico's</w:t>
            </w:r>
          </w:p>
        </w:tc>
      </w:tr>
    </w:tbl>
    <w:p>
      <w:pPr>
        <w:spacing w:after="20"/>
      </w:pPr>
    </w:p>
    <w:p>
      <w:pPr>
        <w:pStyle w:val="Heading1"/>
      </w:pPr>
      <w:r>
        <w:t>1. Besluit en reikwijdte</w:t>
      </w:r>
    </w:p>
    <w:p>
      <w:r>
        <w:rPr>
          <w:rFonts w:ascii="Calibri" w:hAnsi="Calibri"/>
          <w:color w:val="17221D"/>
        </w:rPr>
        <w:t>Deze DPIA betreft het gebruik van ZorgTekstAI voor administratieve ondersteuning en informatievoorziening door huisartsen en psychologen. De beoordeling omvat tekst, documenten, audio, transcriptie, AI-concepten, algemene chat, optioneel internetzoeken, authenticatie, inhoudsvrije audit en betrokken leveranciers.</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Voorlopig besluit</w:t>
            </w:r>
          </w:p>
          <w:p>
            <w:pPr>
              <w:spacing w:after="0"/>
            </w:pPr>
            <w:r>
              <w:rPr>
                <w:rFonts w:ascii="Calibri" w:hAnsi="Calibri"/>
                <w:color w:val="17221D"/>
                <w:sz w:val="19"/>
              </w:rPr>
              <w:t>Ingebruikname is alleen aanvaardbaar nadat alle hoge restrisico's zijn behandeld, het hoofddocument inclusief de verwerkersvoorwaarden is getekend, gebruikers zijn geïnstrueerd en de bestuurder deze bijlage via het hoofddocument heeft goedgekeurd.</w:t>
            </w:r>
          </w:p>
        </w:tc>
      </w:tr>
    </w:tbl>
    <w:p>
      <w:pPr>
        <w:spacing w:after="20"/>
      </w:pPr>
    </w:p>
    <w:p>
      <w:pPr>
        <w:pStyle w:val="Heading1"/>
      </w:pPr>
      <w:r>
        <w:t>2. Verwerkingsbeschrijving</w:t>
      </w:r>
    </w:p>
    <w:tbl>
      <w:tblPr>
        <w:tblW w:type="dxa" w:w="9360"/>
        <w:jc w:val="left"/>
        <w:tblLayout w:type="fixed"/>
        <w:tblLook w:firstColumn="1" w:firstRow="1" w:lastColumn="0" w:lastRow="0" w:noHBand="0" w:noVBand="1" w:val="04A0"/>
        <w:tblInd w:w="120" w:type="dxa"/>
      </w:tblPr>
      <w:tblGrid>
        <w:gridCol w:w="1200"/>
        <w:gridCol w:w="2500"/>
        <w:gridCol w:w="2700"/>
        <w:gridCol w:w="2960"/>
      </w:tblGrid>
      <w:tr>
        <w:tc>
          <w:tcPr>
            <w:tcW w:type="dxa" w:w="12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Stap</w:t>
            </w:r>
          </w:p>
        </w:tc>
        <w:tc>
          <w:tcPr>
            <w:tcW w:type="dxa" w:w="25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Gegevens</w:t>
            </w:r>
          </w:p>
        </w:tc>
        <w:tc>
          <w:tcPr>
            <w:tcW w:type="dxa" w:w="2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Dienst/locatie</w:t>
            </w:r>
          </w:p>
        </w:tc>
        <w:tc>
          <w:tcPr>
            <w:tcW w:type="dxa" w:w="29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Opslag</w:t>
            </w:r>
          </w:p>
        </w:tc>
      </w:tr>
      <w:tr>
        <w:tc>
          <w:tcPr>
            <w:tcW w:type="dxa" w:w="1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Login</w:t>
            </w:r>
          </w:p>
        </w:tc>
        <w:tc>
          <w:tcPr>
            <w:tcW w:type="dxa" w:w="2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E-mailadres en authenticatiemetadata.</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Google OAuth.</w:t>
            </w:r>
          </w:p>
        </w:tc>
        <w:tc>
          <w:tcPr>
            <w:tcW w:type="dxa" w:w="29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Volgens Google; geen zorginhoud.</w:t>
            </w:r>
          </w:p>
        </w:tc>
      </w:tr>
      <w:tr>
        <w:tc>
          <w:tcPr>
            <w:tcW w:type="dxa" w:w="1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App</w:t>
            </w:r>
          </w:p>
        </w:tc>
        <w:tc>
          <w:tcPr>
            <w:tcW w:type="dxa" w:w="2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Document, tekst, audio, prompt.</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Serverless Containers, Amsterdam.</w:t>
            </w:r>
          </w:p>
        </w:tc>
        <w:tc>
          <w:tcPr>
            <w:tcW w:type="dxa" w:w="29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Tijdelijk geheugen/ephemeral verwerking.</w:t>
            </w:r>
          </w:p>
        </w:tc>
      </w:tr>
      <w:tr>
        <w:tc>
          <w:tcPr>
            <w:tcW w:type="dxa" w:w="1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w:t>
            </w:r>
          </w:p>
        </w:tc>
        <w:tc>
          <w:tcPr>
            <w:tcW w:type="dxa" w:w="2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Noodzakelijke patiëntinhoud.</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Generative APIs, Parijs.</w:t>
            </w:r>
          </w:p>
        </w:tc>
        <w:tc>
          <w:tcPr>
            <w:tcW w:type="dxa" w:w="29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Standaard geen inhoudsopslag; uitzonderlijke requestopslag max. 2 weken.</w:t>
            </w:r>
          </w:p>
        </w:tc>
      </w:tr>
      <w:tr>
        <w:tc>
          <w:tcPr>
            <w:tcW w:type="dxa" w:w="1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Persistente configuratie</w:t>
            </w:r>
          </w:p>
        </w:tc>
        <w:tc>
          <w:tcPr>
            <w:tcW w:type="dxa" w:w="2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Templates, bronnenlijsten, gehashte tellers en auditmetadata.</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Object Storage, Amsterdam.</w:t>
            </w:r>
          </w:p>
        </w:tc>
        <w:tc>
          <w:tcPr>
            <w:tcW w:type="dxa" w:w="29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Versleuteld; geen patiëntinhoud toegestaan.</w:t>
            </w:r>
          </w:p>
        </w:tc>
      </w:tr>
      <w:tr>
        <w:tc>
          <w:tcPr>
            <w:tcW w:type="dxa" w:w="1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Internetzoeken</w:t>
            </w:r>
          </w:p>
        </w:tc>
        <w:tc>
          <w:tcPr>
            <w:tcW w:type="dxa" w:w="2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Alleen algemene zoekterm zonder persoonsgegevens.</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Brave Search, buiten Scaleway-route.</w:t>
            </w:r>
          </w:p>
        </w:tc>
        <w:tc>
          <w:tcPr>
            <w:tcW w:type="dxa" w:w="29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Volgens Brave maximaal 90 dagen.</w:t>
            </w:r>
          </w:p>
        </w:tc>
      </w:tr>
      <w:tr>
        <w:tc>
          <w:tcPr>
            <w:tcW w:type="dxa" w:w="1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Uitvoer</w:t>
            </w:r>
          </w:p>
        </w:tc>
        <w:tc>
          <w:tcPr>
            <w:tcW w:type="dxa" w:w="2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AI-concept.</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Browser gebruiker.</w:t>
            </w:r>
          </w:p>
        </w:tc>
        <w:tc>
          <w:tcPr>
            <w:tcW w:type="dxa" w:w="29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Niet door app opgeslagen; gebruiker kan kopiëren/downloaden.</w:t>
            </w:r>
          </w:p>
        </w:tc>
      </w:tr>
    </w:tbl>
    <w:p>
      <w:pPr>
        <w:spacing w:after="20"/>
      </w:pPr>
    </w:p>
    <w:p>
      <w:pPr>
        <w:pStyle w:val="Heading1"/>
      </w:pPr>
      <w:r>
        <w:t>3. Doeleinden en noodzakelijkheid</w:t>
      </w:r>
    </w:p>
    <w:p>
      <w:pPr>
        <w:pStyle w:val="ListBullet"/>
        <w:spacing w:after="80"/>
        <w:ind w:left="720" w:hanging="360"/>
      </w:pPr>
      <w:r>
        <w:rPr>
          <w:rFonts w:ascii="Calibri" w:hAnsi="Calibri"/>
          <w:color w:val="17221D"/>
        </w:rPr>
        <w:t>Efficiënter opstellen van noodzakelijke verslaglegging en correspondentie.</w:t>
      </w:r>
    </w:p>
    <w:p>
      <w:pPr>
        <w:pStyle w:val="ListBullet"/>
        <w:spacing w:after="80"/>
        <w:ind w:left="720" w:hanging="360"/>
      </w:pPr>
      <w:r>
        <w:rPr>
          <w:rFonts w:ascii="Calibri" w:hAnsi="Calibri"/>
          <w:color w:val="17221D"/>
        </w:rPr>
        <w:t>Structureren en samenvatten van door de professional geselecteerde informatie.</w:t>
      </w:r>
    </w:p>
    <w:p>
      <w:pPr>
        <w:pStyle w:val="ListBullet"/>
        <w:spacing w:after="80"/>
        <w:ind w:left="720" w:hanging="360"/>
      </w:pPr>
      <w:r>
        <w:rPr>
          <w:rFonts w:ascii="Calibri" w:hAnsi="Calibri"/>
          <w:color w:val="17221D"/>
        </w:rPr>
        <w:t>Ondersteunen van informatievoorziening en bronraadpleging.</w:t>
      </w:r>
    </w:p>
    <w:p>
      <w:pPr>
        <w:pStyle w:val="ListBullet"/>
        <w:spacing w:after="80"/>
        <w:ind w:left="720" w:hanging="360"/>
      </w:pPr>
      <w:r>
        <w:rPr>
          <w:rFonts w:ascii="Calibri" w:hAnsi="Calibri"/>
          <w:color w:val="17221D"/>
        </w:rPr>
        <w:t>Niet: autonome diagnose, triage, behandeladvies, voorschrijven of besluitvorming.</w:t>
      </w:r>
    </w:p>
    <w:p>
      <w:pPr>
        <w:pStyle w:val="ListBullet"/>
        <w:spacing w:after="80"/>
        <w:ind w:left="720" w:hanging="360"/>
      </w:pPr>
      <w:r>
        <w:rPr>
          <w:rFonts w:ascii="Calibri" w:hAnsi="Calibri"/>
          <w:color w:val="17221D"/>
        </w:rPr>
        <w:t>Namen mogen worden verwerkt als zij noodzakelijk zijn voor het juiste intakedocument; overige identificatoren alleen indien noodzakelijk.</w:t>
      </w:r>
    </w:p>
    <w:p>
      <w:pPr>
        <w:pStyle w:val="Heading1"/>
      </w:pPr>
      <w:r>
        <w:t>4. Betrokkenen en gegevenscategorieën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Betrokkenen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Patiënten/cliënten, zorgprofessionals en geautoriseerde gebruikers.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Gewone persoonsgegevens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 contact- of correspondentiegegevens voor zover noodzakelijk.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Bijzondere persoonsgegevens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Gezondheid, diagnoses, medicatie, psychische toestand en medische correspondentie.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Audio</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Stemgeluid en gesprek; alleen na toestemming.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Accountgegevens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Google-e-mailadres, sessie- en beveiligingsmetadata.</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Uitsluitingen internetzoeken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 persoonsgegevens, waaronder patiënt- en casusdetails.</w:t>
            </w:r>
          </w:p>
        </w:tc>
      </w:tr>
    </w:tbl>
    <w:p>
      <w:pPr>
        <w:spacing w:after="20"/>
      </w:pPr>
    </w:p>
    <w:p>
      <w:pPr>
        <w:pStyle w:val="Heading1"/>
      </w:pPr>
      <w:r>
        <w:t>5. Grondslagen en transparantie</w:t>
      </w:r>
    </w:p>
    <w:p>
      <w:r>
        <w:rPr>
          <w:rFonts w:ascii="Calibri" w:hAnsi="Calibri"/>
          <w:color w:val="17221D"/>
        </w:rPr>
        <w:t>De praktijk vult en motiveert de toepasselijke grondslag in document 02. Voor zorginhoud ligt artikel 9 lid 2 onder h AVG veelal voor de hand, in combinatie met een passende grondslag uit artikel 6. Audio-opname vereist afzonderlijke toestemming volgens het vastgestelde proces. De reguliere privacyinformatie wordt aangevuld met document 08.</w:t>
      </w:r>
    </w:p>
    <w:p>
      <w:pPr>
        <w:pStyle w:val="Heading1"/>
      </w:pPr>
      <w:r>
        <w:t>6. Risicomatrix</w:t>
      </w:r>
    </w:p>
    <w:tbl>
      <w:tblPr>
        <w:tblW w:type="dxa" w:w="8960"/>
        <w:jc w:val="left"/>
        <w:tblLayout w:type="fixed"/>
        <w:tblLook w:firstColumn="1" w:firstRow="1" w:lastColumn="0" w:lastRow="0" w:noHBand="0" w:noVBand="1" w:val="04A0"/>
        <w:tblInd w:w="120" w:type="dxa"/>
      </w:tblPr>
      <w:tblGrid>
        <w:gridCol w:w="500"/>
        <w:gridCol w:w="2650"/>
        <w:gridCol w:w="400"/>
        <w:gridCol w:w="400"/>
        <w:gridCol w:w="500"/>
        <w:gridCol w:w="3860"/>
        <w:gridCol w:w="650"/>
      </w:tblGrid>
      <w:tr>
        <w:tc>
          <w:tcPr>
            <w:tcW w:type="dxa" w:w="5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ID</w:t>
            </w:r>
          </w:p>
        </w:tc>
        <w:tc>
          <w:tcPr>
            <w:tcW w:type="dxa" w:w="265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Risico</w:t>
            </w:r>
          </w:p>
        </w:tc>
        <w:tc>
          <w:tcPr>
            <w:tcW w:type="dxa" w:w="4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K</w:t>
            </w:r>
          </w:p>
        </w:tc>
        <w:tc>
          <w:tcPr>
            <w:tcW w:type="dxa" w:w="4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I</w:t>
            </w:r>
          </w:p>
        </w:tc>
        <w:tc>
          <w:tcPr>
            <w:tcW w:type="dxa" w:w="5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Init.</w:t>
            </w:r>
          </w:p>
        </w:tc>
        <w:tc>
          <w:tcPr>
            <w:tcW w:type="dxa" w:w="38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Maatregelen</w:t>
            </w:r>
          </w:p>
        </w:tc>
        <w:tc>
          <w:tcPr>
            <w:tcW w:type="dxa" w:w="65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Rest</w:t>
            </w:r>
          </w:p>
        </w:tc>
      </w:tr>
      <w:tr>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R1</w:t>
            </w:r>
          </w:p>
        </w:tc>
        <w:tc>
          <w:tcPr>
            <w:tcW w:type="dxa" w:w="2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Persoonsgegevens komen in Brave-zoekterm.</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8</w:t>
            </w:r>
          </w:p>
        </w:tc>
        <w:tc>
          <w:tcPr>
            <w:tcW w:type="dxa" w:w="3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Opt-in, verbod, waarschuwing, training.</w:t>
            </w:r>
          </w:p>
        </w:tc>
        <w:tc>
          <w:tcPr>
            <w:tcW w:type="dxa" w:w="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R2</w:t>
            </w:r>
          </w:p>
        </w:tc>
        <w:tc>
          <w:tcPr>
            <w:tcW w:type="dxa" w:w="2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 verzint of mist klinisch relevant feit.</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3</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12</w:t>
            </w:r>
          </w:p>
        </w:tc>
        <w:tc>
          <w:tcPr>
            <w:tcW w:type="dxa" w:w="3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AI-concept, broncontrole, checklist, training.</w:t>
            </w:r>
          </w:p>
        </w:tc>
        <w:tc>
          <w:tcPr>
            <w:tcW w:type="dxa" w:w="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6</w:t>
            </w:r>
          </w:p>
        </w:tc>
      </w:tr>
      <w:tr>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R3</w:t>
            </w:r>
          </w:p>
        </w:tc>
        <w:tc>
          <w:tcPr>
            <w:tcW w:type="dxa" w:w="2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Onbevoegde toegang via account/sessie.</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8</w:t>
            </w:r>
          </w:p>
        </w:tc>
        <w:tc>
          <w:tcPr>
            <w:tcW w:type="dxa" w:w="3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Allowlist, beveiligde cookie, 20 min idle, lokale lock.</w:t>
            </w:r>
          </w:p>
        </w:tc>
        <w:tc>
          <w:tcPr>
            <w:tcW w:type="dxa" w:w="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R4</w:t>
            </w:r>
          </w:p>
        </w:tc>
        <w:tc>
          <w:tcPr>
            <w:tcW w:type="dxa" w:w="2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Audio zonder geldige toestemming of te lang bewaard.</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8</w:t>
            </w:r>
          </w:p>
        </w:tc>
        <w:tc>
          <w:tcPr>
            <w:tcW w:type="dxa" w:w="3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Checkbox, dossiernotitie, wissen, downloadwaarschuwing.</w:t>
            </w:r>
          </w:p>
        </w:tc>
        <w:tc>
          <w:tcPr>
            <w:tcW w:type="dxa" w:w="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R5</w:t>
            </w:r>
          </w:p>
        </w:tc>
        <w:tc>
          <w:tcPr>
            <w:tcW w:type="dxa" w:w="2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Uitzonderlijke Scaleway-debugrequest bevat patiëntdata.</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3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Contractuele controle, max. twee weken, EU-route.</w:t>
            </w:r>
          </w:p>
        </w:tc>
        <w:tc>
          <w:tcPr>
            <w:tcW w:type="dxa" w:w="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R6</w:t>
            </w:r>
          </w:p>
        </w:tc>
        <w:tc>
          <w:tcPr>
            <w:tcW w:type="dxa" w:w="2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Verkeerde patiënt of identiteitsverwisseling.</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8</w:t>
            </w:r>
          </w:p>
        </w:tc>
        <w:tc>
          <w:tcPr>
            <w:tcW w:type="dxa" w:w="3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Identiteitscontrole en vergelijking met bron.</w:t>
            </w:r>
          </w:p>
        </w:tc>
        <w:tc>
          <w:tcPr>
            <w:tcW w:type="dxa" w:w="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R7</w:t>
            </w:r>
          </w:p>
        </w:tc>
        <w:tc>
          <w:tcPr>
            <w:tcW w:type="dxa" w:w="2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Patiëntinhoud in template, bronlijst, audit of support.</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8</w:t>
            </w:r>
          </w:p>
        </w:tc>
        <w:tc>
          <w:tcPr>
            <w:tcW w:type="dxa" w:w="3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Verbod, beheercontrole, inhoudsvrije audit.</w:t>
            </w:r>
          </w:p>
        </w:tc>
        <w:tc>
          <w:tcPr>
            <w:tcW w:type="dxa" w:w="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R8</w:t>
            </w:r>
          </w:p>
        </w:tc>
        <w:tc>
          <w:tcPr>
            <w:tcW w:type="dxa" w:w="2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Leveranciersvoorwaarden of regio wijzigen.</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3</w:t>
            </w:r>
          </w:p>
        </w:tc>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6</w:t>
            </w:r>
          </w:p>
        </w:tc>
        <w:tc>
          <w:tcPr>
            <w:tcW w:type="dxa" w:w="3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Jaarlijkse en wijzigingsgestuurde controle.</w:t>
            </w:r>
          </w:p>
        </w:tc>
        <w:tc>
          <w:tcPr>
            <w:tcW w:type="dxa" w:w="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3</w:t>
            </w:r>
          </w:p>
        </w:tc>
      </w:tr>
      <w:tr>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R9</w:t>
            </w:r>
          </w:p>
        </w:tc>
        <w:tc>
          <w:tcPr>
            <w:tcW w:type="dxa" w:w="2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Gedownload bestand blijft onbeveiligd bestaan.</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2</w:t>
            </w:r>
          </w:p>
        </w:tc>
        <w:tc>
          <w:tcPr>
            <w:tcW w:type="dxa" w:w="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8</w:t>
            </w:r>
          </w:p>
        </w:tc>
        <w:tc>
          <w:tcPr>
            <w:tcW w:type="dxa" w:w="3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Waarschuwing, vertrouwd apparaat, lokale procedure.</w:t>
            </w:r>
          </w:p>
        </w:tc>
        <w:tc>
          <w:tcPr>
            <w:tcW w:type="dxa" w:w="65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r>
      <w:tr>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R10</w:t>
            </w:r>
          </w:p>
        </w:tc>
        <w:tc>
          <w:tcPr>
            <w:tcW w:type="dxa" w:w="2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Onvoldoende AI-geletterdheid leidt tot blind vertrouwen.</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3</w:t>
            </w:r>
          </w:p>
        </w:tc>
        <w:tc>
          <w:tcPr>
            <w:tcW w:type="dxa" w:w="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4</w:t>
            </w:r>
          </w:p>
        </w:tc>
        <w:tc>
          <w:tcPr>
            <w:tcW w:type="dxa" w:w="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12</w:t>
            </w:r>
          </w:p>
        </w:tc>
        <w:tc>
          <w:tcPr>
            <w:tcW w:type="dxa" w:w="3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Training, conceptlabel, gebruiksprocedure.</w:t>
            </w:r>
          </w:p>
        </w:tc>
        <w:tc>
          <w:tcPr>
            <w:tcW w:type="dxa" w:w="65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6</w:t>
            </w:r>
          </w:p>
        </w:tc>
      </w:tr>
    </w:tbl>
    <w:p>
      <w:pPr>
        <w:spacing w:after="20"/>
      </w:pPr>
    </w:p>
    <w:p>
      <w:r>
        <w:rPr>
          <w:rFonts w:ascii="Calibri" w:hAnsi="Calibri"/>
          <w:color w:val="17221D"/>
        </w:rPr>
        <w:t>Schaal: kans (K) en impact (I) 1-5; score = K x I. De praktijk bepaalt haar eigen acceptatiegrenzen. De ingevulde scores zijn een startpunt en moeten worden aangepast aan omvang, doelgroep en werkproces.</w:t>
      </w:r>
    </w:p>
    <w:p>
      <w:pPr>
        <w:pStyle w:val="Heading1"/>
      </w:pPr>
      <w:r>
        <w:t>7. Rechten en verwachtingen betrokkenen</w:t>
      </w:r>
    </w:p>
    <w:p>
      <w:pPr>
        <w:pStyle w:val="ListBullet"/>
        <w:spacing w:after="80"/>
        <w:ind w:left="720" w:hanging="360"/>
      </w:pPr>
      <w:r>
        <w:rPr>
          <w:rFonts w:ascii="Calibri" w:hAnsi="Calibri"/>
          <w:color w:val="17221D"/>
        </w:rPr>
        <w:t>De patiënt ontvangt algemene privacyinformatie over digitale/cloudverwerking en AI-ondersteuning.</w:t>
      </w:r>
    </w:p>
    <w:p>
      <w:pPr>
        <w:pStyle w:val="ListBullet"/>
        <w:spacing w:after="80"/>
        <w:ind w:left="720" w:hanging="360"/>
      </w:pPr>
      <w:r>
        <w:rPr>
          <w:rFonts w:ascii="Calibri" w:hAnsi="Calibri"/>
          <w:color w:val="17221D"/>
        </w:rPr>
        <w:t>Voor audio wordt afzonderlijke toestemming gevraagd en vastgelegd.</w:t>
      </w:r>
    </w:p>
    <w:p>
      <w:pPr>
        <w:pStyle w:val="ListBullet"/>
        <w:spacing w:after="80"/>
        <w:ind w:left="720" w:hanging="360"/>
      </w:pPr>
      <w:r>
        <w:rPr>
          <w:rFonts w:ascii="Calibri" w:hAnsi="Calibri"/>
          <w:color w:val="17221D"/>
        </w:rPr>
        <w:t>Er vindt geen uitsluitend geautomatiseerde beslissing over de patiënt plaats.</w:t>
      </w:r>
    </w:p>
    <w:p>
      <w:pPr>
        <w:pStyle w:val="ListBullet"/>
        <w:spacing w:after="80"/>
        <w:ind w:left="720" w:hanging="360"/>
      </w:pPr>
      <w:r>
        <w:rPr>
          <w:rFonts w:ascii="Calibri" w:hAnsi="Calibri"/>
          <w:color w:val="17221D"/>
        </w:rPr>
        <w:t>De zorgprofessional blijft aanspreekpunt voor inzage, correctie en dossierinhoud.</w:t>
      </w:r>
    </w:p>
    <w:p>
      <w:pPr>
        <w:pStyle w:val="ListBullet"/>
        <w:spacing w:after="80"/>
        <w:ind w:left="720" w:hanging="360"/>
      </w:pPr>
      <w:r>
        <w:rPr>
          <w:rFonts w:ascii="Calibri" w:hAnsi="Calibri"/>
          <w:color w:val="17221D"/>
        </w:rPr>
        <w:t>Internetzoeken wordt nooit gebruikt met patiënt- of casusgegevens.</w:t>
      </w:r>
    </w:p>
    <w:p>
      <w:pPr>
        <w:pStyle w:val="Heading1"/>
      </w:pPr>
      <w:r>
        <w:t>8. Openstaande praktijkbesluiten</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Toepasselijke artikel 6-grondslag definitief vastgesteld.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Privacyverklaring aangepast en gepubliceerd.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Hoofddocument inclusief bijlage 11 met verwerkersvoorwaarden ondertekend.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ZorgTekstAI opgenomen in lijst toegestane applicaties.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 geïnstrueerd en geautoriseerd.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Lokale apparaat- en downloadregels vastgesteld.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Datalek- en AI-foutenroute aangesloten op bestaand proces.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Restrisico's door bestuurder geaccepteerd.</w:t>
            </w:r>
          </w:p>
        </w:tc>
      </w:tr>
    </w:tbl>
    <w:p>
      <w:pPr>
        <w:spacing w:after="20"/>
      </w:pPr>
    </w:p>
    <w:p>
      <w:pPr>
        <w:pStyle w:val="Heading1"/>
      </w:pPr>
      <w:r>
        <w:t>9. DPIA-conclusie</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Rest hoog risico aanwezig?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MOTIVERING]]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Voorafgaande raadpleging AP nodig?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MOTIVERING]]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Go-live toegestaan?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ja  ☐ ja, onder voorwaarden  ☐ nee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Voorwaarden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Herbeoordeling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Jaarlijks en bij materiële wijziging of incident</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zorgvuldig omgaan met generatieve AI in de zorg</w:t>
        </w:r>
      </w:hyperlink>
    </w:p>
    <w:p>
      <w:pPr>
        <w:pStyle w:val="ListBullet"/>
        <w:ind w:left="720" w:hanging="360"/>
      </w:pPr>
      <w:hyperlink r:id="rId14">
        <w:r>
          <w:rPr>
            <w:color w:val="1155CC"/>
            <w:u w:val="single"/>
          </w:rPr>
          <w:t>IGJ - vragen over NEN 7510</w:t>
        </w:r>
      </w:hyperlink>
    </w:p>
    <w:p>
      <w:pPr>
        <w:pStyle w:val="ListBullet"/>
        <w:ind w:left="720" w:hanging="360"/>
      </w:pPr>
      <w:hyperlink r:id="rId15">
        <w:r>
          <w:rPr>
            <w:color w:val="1155CC"/>
            <w:u w:val="single"/>
          </w:rPr>
          <w:t>KNMG - AI voor verslaglegging van patiëntgesprekken</w:t>
        </w:r>
      </w:hyperlink>
    </w:p>
    <w:p>
      <w:pPr>
        <w:pStyle w:val="ListBullet"/>
        <w:ind w:left="720" w:hanging="360"/>
      </w:pPr>
      <w:hyperlink r:id="rId16">
        <w:r>
          <w:rPr>
            <w:color w:val="1155CC"/>
            <w:u w:val="single"/>
          </w:rPr>
          <w:t>Scaleway Data Processing Agreement</w:t>
        </w:r>
      </w:hyperlink>
    </w:p>
    <w:p>
      <w:pPr>
        <w:pStyle w:val="ListBullet"/>
        <w:ind w:left="720" w:hanging="360"/>
      </w:pPr>
      <w:hyperlink r:id="rId17">
        <w:r>
          <w:rPr>
            <w:color w:val="1155CC"/>
            <w:u w:val="single"/>
          </w:rPr>
          <w:t>Scaleway Generative APIs - gegevensbescherming</w:t>
        </w:r>
      </w:hyperlink>
    </w:p>
    <w:p>
      <w:pPr>
        <w:pStyle w:val="ListBullet"/>
        <w:ind w:left="720" w:hanging="360"/>
      </w:pPr>
      <w:hyperlink r:id="rId18">
        <w:r>
          <w:rPr>
            <w:color w:val="1155CC"/>
            <w:u w:val="single"/>
          </w:rPr>
          <w:t>Brave Search API Privacy Notice</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Data Protection Impact Assessment (DPIA)</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documenten/2025/02/10/igj-roept-zorgaanbieders-op-ga-zorgvuldig-om-met-invoering-van-generatieve-ai-toepassingen" TargetMode="External"/><Relationship Id="rId14" Type="http://schemas.openxmlformats.org/officeDocument/2006/relationships/hyperlink" Target="https://www.igj.nl/vraag-en-antwoord/vragen-over-nen-7510" TargetMode="External"/><Relationship Id="rId15" Type="http://schemas.openxmlformats.org/officeDocument/2006/relationships/hyperlink" Target="https://www.knmg.nl/ik-ben-arts/praktijkdilemmas-1/praktijkdilemma/waar-moet-ik-aan-denken-als-ik-ai-wil-gebruiken-voor-de-verslaglegging-van-patientgesprekken" TargetMode="External"/><Relationship Id="rId16" Type="http://schemas.openxmlformats.org/officeDocument/2006/relationships/hyperlink" Target="https://www-uploads.scaleway.com/DPA_2024_ENG_b0abb5cc26.pdf" TargetMode="External"/><Relationship Id="rId17" Type="http://schemas.openxmlformats.org/officeDocument/2006/relationships/hyperlink" Target="https://www.scaleway.com/en/docs/generative-apis/reference-content/data-privacy/" TargetMode="External"/><Relationship Id="rId18" Type="http://schemas.openxmlformats.org/officeDocument/2006/relationships/hyperlink" Target="https://api-dashboard.search.brave.com/privacy-poli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