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AVG-grondslagen en verwerkingsregister</w:t>
      </w:r>
    </w:p>
    <w:p>
      <w:pPr>
        <w:spacing w:after="280"/>
      </w:pPr>
      <w:r>
        <w:rPr>
          <w:rFonts w:ascii="Calibri" w:hAnsi="Calibri"/>
          <w:color w:val="5C6A63"/>
          <w:sz w:val="25"/>
        </w:rPr>
        <w:t>Praktijkspecifieke vastlegging van doelen, gegevens en ontvangers</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Dossierstatus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Bijlage bij het 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Deze bijlage hoort bij het Hoofddocument praktijkdossier ZorgTekstAI. De term 'de Praktijk' verwijst naar de praktijk die eenmaal in het hoofddocument is ingevuld. De bijlage wordt niet afzonderlijk ondertekend, maar gezamenlijk vastgesteld door ondertekening van het hoofddocument.</w:t>
            </w:r>
          </w:p>
        </w:tc>
      </w:tr>
    </w:tbl>
    <w:p>
      <w:pPr>
        <w:spacing w:after="20"/>
      </w:pPr>
    </w:p>
    <w:p>
      <w:pPr>
        <w:pStyle w:val="Heading1"/>
      </w:pPr>
      <w:r>
        <w:t>Positie in het praktijkdossier</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Bijlage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02</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Hoofddocument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Van toepassing op</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 zoals eenmaal geïdentificeerd in het hoofddocument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Doel 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Grondslagen bepalen en register van verwerkingen aanvullen</w:t>
            </w:r>
          </w:p>
        </w:tc>
      </w:tr>
    </w:tbl>
    <w:p>
      <w:pPr>
        <w:spacing w:after="20"/>
      </w:pPr>
    </w:p>
    <w:p>
      <w:pPr>
        <w:pStyle w:val="Heading1"/>
      </w:pPr>
      <w:r>
        <w:t>1. Verantwoordelijkheden</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Verwerkingsverantwoordelijke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 zoals geïdentificeerd in het hoofddocument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Verwerker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 den Breejen, Koninginneweg 71a, 3261 CB Oud-Beijerland, marinusdenbreejen@gmail.com</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Subverwerker zorginhoud</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Scaleway SAS</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Authenticatiedienst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Google OAuth; geen zorginhoud via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Externe zoekdienst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Brave Search; uitsluitend na opt-in en zonder persoonsgegevens</w:t>
            </w:r>
          </w:p>
        </w:tc>
      </w:tr>
    </w:tbl>
    <w:p>
      <w:pPr>
        <w:spacing w:after="20"/>
      </w:pPr>
    </w:p>
    <w:p>
      <w:pPr>
        <w:pStyle w:val="Heading1"/>
      </w:pPr>
      <w:r>
        <w:t>2. Grondslagenkeuze</w:t>
      </w:r>
    </w:p>
    <w:tbl>
      <w:tblPr>
        <w:tblW w:type="dxa" w:w="9360"/>
        <w:jc w:val="left"/>
        <w:tblLayout w:type="fixed"/>
        <w:tblLook w:firstColumn="1" w:firstRow="1" w:lastColumn="0" w:lastRow="0" w:noHBand="0" w:noVBand="1" w:val="04A0"/>
        <w:tblInd w:w="120" w:type="dxa"/>
      </w:tblPr>
      <w:tblGrid>
        <w:gridCol w:w="1900"/>
        <w:gridCol w:w="2700"/>
        <w:gridCol w:w="2700"/>
        <w:gridCol w:w="2060"/>
      </w:tblGrid>
      <w:tr>
        <w:tc>
          <w:tcPr>
            <w:tcW w:type="dxa" w:w="19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Verwerking</w:t>
            </w:r>
          </w:p>
        </w:tc>
        <w:tc>
          <w:tcPr>
            <w:tcW w:type="dxa" w:w="27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Mogelijke art. 6-grondslag</w:t>
            </w:r>
          </w:p>
        </w:tc>
        <w:tc>
          <w:tcPr>
            <w:tcW w:type="dxa" w:w="27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Art. 9 / aanvullende basis</w:t>
            </w:r>
          </w:p>
        </w:tc>
        <w:tc>
          <w:tcPr>
            <w:tcW w:type="dxa" w:w="20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Praktijkkeuze</w:t>
            </w:r>
          </w:p>
        </w:tc>
      </w:tr>
      <w:tr>
        <w:tc>
          <w:tcPr>
            <w:tcW w:type="dxa" w:w="19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Zorginhoud voor verslaglegging</w:t>
            </w:r>
          </w:p>
        </w:tc>
        <w:tc>
          <w:tcPr>
            <w:tcW w:type="dxa" w:w="2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Art. 6(1)(c), (b) of (e), afhankelijk van praktijk en taak.</w:t>
            </w:r>
          </w:p>
        </w:tc>
        <w:tc>
          <w:tcPr>
            <w:tcW w:type="dxa" w:w="2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Art. 9(2)(h); relevante zorg- en dossierregels.</w:t>
            </w:r>
          </w:p>
        </w:tc>
        <w:tc>
          <w:tcPr>
            <w:tcW w:type="dxa" w:w="20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[[KIES EN MOTIVEER]]</w:t>
            </w:r>
          </w:p>
        </w:tc>
      </w:tr>
      <w:tr>
        <w:tc>
          <w:tcPr>
            <w:tcW w:type="dxa" w:w="19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Audio-opname en transcriptie</w:t>
            </w:r>
          </w:p>
        </w:tc>
        <w:tc>
          <w:tcPr>
            <w:tcW w:type="dxa" w:w="2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Art. 6(1)(a), voor zover toestemming wordt gebruikt.</w:t>
            </w:r>
          </w:p>
        </w:tc>
        <w:tc>
          <w:tcPr>
            <w:tcW w:type="dxa" w:w="2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Uitdrukkelijke toestemming / beroepsregels; controleer lokale context.</w:t>
            </w:r>
          </w:p>
        </w:tc>
        <w:tc>
          <w:tcPr>
            <w:tcW w:type="dxa" w:w="20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[[KIES EN MOTIVEER]]</w:t>
            </w:r>
          </w:p>
        </w:tc>
      </w:tr>
      <w:tr>
        <w:tc>
          <w:tcPr>
            <w:tcW w:type="dxa" w:w="19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Login en allowlist</w:t>
            </w:r>
          </w:p>
        </w:tc>
        <w:tc>
          <w:tcPr>
            <w:tcW w:type="dxa" w:w="2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Art. 6(1)(f): beveiligde, besloten toegang.</w:t>
            </w:r>
          </w:p>
        </w:tc>
        <w:tc>
          <w:tcPr>
            <w:tcW w:type="dxa" w:w="2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Geen zorginhoud bij Google.</w:t>
            </w:r>
          </w:p>
        </w:tc>
        <w:tc>
          <w:tcPr>
            <w:tcW w:type="dxa" w:w="20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[[BEVESTIG]]</w:t>
            </w:r>
          </w:p>
        </w:tc>
      </w:tr>
      <w:tr>
        <w:tc>
          <w:tcPr>
            <w:tcW w:type="dxa" w:w="19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Gebruiksteller en audit</w:t>
            </w:r>
          </w:p>
        </w:tc>
        <w:tc>
          <w:tcPr>
            <w:tcW w:type="dxa" w:w="2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Art. 6(1)(f): beveiliging, misbruikpreventie en kostenbeheersing.</w:t>
            </w:r>
          </w:p>
        </w:tc>
        <w:tc>
          <w:tcPr>
            <w:tcW w:type="dxa" w:w="2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Geen medische inhoud; gehashte gebruiker.</w:t>
            </w:r>
          </w:p>
        </w:tc>
        <w:tc>
          <w:tcPr>
            <w:tcW w:type="dxa" w:w="20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[[BEVESTIG]]</w:t>
            </w:r>
          </w:p>
        </w:tc>
      </w:tr>
      <w:tr>
        <w:tc>
          <w:tcPr>
            <w:tcW w:type="dxa" w:w="19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Internetzoeken</w:t>
            </w:r>
          </w:p>
        </w:tc>
        <w:tc>
          <w:tcPr>
            <w:tcW w:type="dxa" w:w="2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Geen persoonsgegevens toegestaan.</w:t>
            </w:r>
          </w:p>
        </w:tc>
        <w:tc>
          <w:tcPr>
            <w:tcW w:type="dxa" w:w="2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Niet gebruiken voor patiëntgegevens.</w:t>
            </w:r>
          </w:p>
        </w:tc>
        <w:tc>
          <w:tcPr>
            <w:tcW w:type="dxa" w:w="20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[[BEVESTIG]]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Controle vereist</w:t>
            </w:r>
          </w:p>
          <w:p>
            <w:pPr>
              <w:spacing w:after="0"/>
            </w:pPr>
            <w:r>
              <w:rPr>
                <w:rFonts w:ascii="Calibri" w:hAnsi="Calibri"/>
                <w:color w:val="17221D"/>
                <w:sz w:val="19"/>
              </w:rPr>
              <w:t>De juiste artikel 6-grondslag hangt af van de rechtsvorm, taak en relatie met de patiënt. Dit concept presenteert opties; de praktijk moet één keuze per verwerking motiveren.</w:t>
            </w:r>
          </w:p>
        </w:tc>
      </w:tr>
    </w:tbl>
    <w:p>
      <w:pPr>
        <w:spacing w:after="20"/>
      </w:pPr>
    </w:p>
    <w:p>
      <w:pPr>
        <w:pStyle w:val="Heading1"/>
      </w:pPr>
      <w:r>
        <w:t>3. Registerregel ZorgTekstAI</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Naam verwerking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AI-ondersteunde verslaglegging en informatievoorziening met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Doeleinden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Conceptverslaglegging, transcriptie, samenvatting, correspondentie en algemene broninformatie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Betrokkenen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Patiënten/cliënten en geautoriseerde gebruikers</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Gegevenscategorieën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Naam indien noodzakelijk, gezondheid, medicatie, correspondentie, audio en accountmetadata</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Ontvangers/verwerkers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 den Breejen; Scaleway SAS; Google voor login; Brave uitsluitend zonder persoonsgegevens</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Doorgifte buiten EER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Geen zorginhoud beoogd; Brave is een afzonderlijke Amerikaanse route zonder persoonsgegevens</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Inhoudsbewaring app</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Geen reguliere opslag van documenten, prompts, antwoorden, audio of transcripties</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Persistente metadata</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Templates/bronnen zonder patiëntdata, gehashte tellers, inhoudsvrije audit max. 180 dagen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Beveiliging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HTTPS, EU-regio's, IAM, allowlist, sessiecookies, CSRF, idle-time-out, versleutelde Object Storage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DPIA</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Document 01; status [[INVULLEN]]</w:t>
            </w:r>
          </w:p>
        </w:tc>
      </w:tr>
    </w:tbl>
    <w:p>
      <w:pPr>
        <w:spacing w:after="20"/>
      </w:pPr>
    </w:p>
    <w:p>
      <w:pPr>
        <w:pStyle w:val="Heading1"/>
      </w:pPr>
      <w:r>
        <w:t>4. Informatieplicht</w:t>
      </w:r>
    </w:p>
    <w:p>
      <w:r>
        <w:rPr>
          <w:rFonts w:ascii="Calibri" w:hAnsi="Calibri"/>
          <w:color w:val="17221D"/>
        </w:rPr>
        <w:t>De praktijk hoeft niet ieder softwarepakket bij ieder consult afzonderlijk te noemen. De algemene privacyinformatie moet wel voldoende duidelijk zijn over digitale/cloudverwerking, categorieën van ontvangers, doeleinden, bewaartermijnen en rechten. Voor audio geldt een afzonderlijk toestemmingsproces.</w:t>
      </w:r>
    </w:p>
    <w:p>
      <w:pPr>
        <w:pStyle w:val="Heading1"/>
      </w:pPr>
      <w:r>
        <w:t>5. Bewaartermijnen</w:t>
      </w:r>
    </w:p>
    <w:tbl>
      <w:tblPr>
        <w:tblW w:type="dxa" w:w="9360"/>
        <w:jc w:val="left"/>
        <w:tblLayout w:type="fixed"/>
        <w:tblLook w:firstColumn="1" w:firstRow="1" w:lastColumn="0" w:lastRow="0" w:noHBand="0" w:noVBand="1" w:val="04A0"/>
        <w:tblInd w:w="120" w:type="dxa"/>
      </w:tblPr>
      <w:tblGrid>
        <w:gridCol w:w="2600"/>
        <w:gridCol w:w="4100"/>
        <w:gridCol w:w="2660"/>
      </w:tblGrid>
      <w:tr>
        <w:tc>
          <w:tcPr>
            <w:tcW w:type="dxa" w:w="26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Categorie</w:t>
            </w:r>
          </w:p>
        </w:tc>
        <w:tc>
          <w:tcPr>
            <w:tcW w:type="dxa" w:w="41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Termijn</w:t>
            </w:r>
          </w:p>
        </w:tc>
        <w:tc>
          <w:tcPr>
            <w:tcW w:type="dxa" w:w="26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Verantwoordelijke</w:t>
            </w:r>
          </w:p>
        </w:tc>
      </w:tr>
      <w:tr>
        <w:tc>
          <w:tcPr>
            <w:tcW w:type="dxa" w:w="2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Patiëntinhoud in ZorgTekstAI</w:t>
            </w:r>
          </w:p>
        </w:tc>
        <w:tc>
          <w:tcPr>
            <w:tcW w:type="dxa" w:w="41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Niet regulier opgeslagen; tijdelijk tijdens aanvraag.</w:t>
            </w:r>
          </w:p>
        </w:tc>
        <w:tc>
          <w:tcPr>
            <w:tcW w:type="dxa" w:w="2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Marinus/Scaleway volgens contractroute</w:t>
            </w:r>
          </w:p>
        </w:tc>
      </w:tr>
      <w:tr>
        <w:tc>
          <w:tcPr>
            <w:tcW w:type="dxa" w:w="26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Uitzonderlijke Generative API request</w:t>
            </w:r>
          </w:p>
        </w:tc>
        <w:tc>
          <w:tcPr>
            <w:tcW w:type="dxa" w:w="41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Volgens Scaleway maximaal twee weken.</w:t>
            </w:r>
          </w:p>
        </w:tc>
        <w:tc>
          <w:tcPr>
            <w:tcW w:type="dxa" w:w="26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Scaleway</w:t>
            </w:r>
          </w:p>
        </w:tc>
      </w:tr>
      <w:tr>
        <w:tc>
          <w:tcPr>
            <w:tcW w:type="dxa" w:w="2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Auditmetadata</w:t>
            </w:r>
          </w:p>
        </w:tc>
        <w:tc>
          <w:tcPr>
            <w:tcW w:type="dxa" w:w="41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Maximaal 180 dagen.</w:t>
            </w:r>
          </w:p>
        </w:tc>
        <w:tc>
          <w:tcPr>
            <w:tcW w:type="dxa" w:w="2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Marinus</w:t>
            </w:r>
          </w:p>
        </w:tc>
      </w:tr>
      <w:tr>
        <w:tc>
          <w:tcPr>
            <w:tcW w:type="dxa" w:w="26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Gebruikstellers</w:t>
            </w:r>
          </w:p>
        </w:tc>
        <w:tc>
          <w:tcPr>
            <w:tcW w:type="dxa" w:w="41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Huidige en vorige 29 UTC-dagen volgens technische inrichting.</w:t>
            </w:r>
          </w:p>
        </w:tc>
        <w:tc>
          <w:tcPr>
            <w:tcW w:type="dxa" w:w="26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Marinus</w:t>
            </w:r>
          </w:p>
        </w:tc>
      </w:tr>
      <w:tr>
        <w:tc>
          <w:tcPr>
            <w:tcW w:type="dxa" w:w="2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Brave-query</w:t>
            </w:r>
          </w:p>
        </w:tc>
        <w:tc>
          <w:tcPr>
            <w:tcW w:type="dxa" w:w="41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Volgens Brave maximaal 90 dagen; geen persoonsgegevens toegestaan.</w:t>
            </w:r>
          </w:p>
        </w:tc>
        <w:tc>
          <w:tcPr>
            <w:tcW w:type="dxa" w:w="2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Brave</w:t>
            </w:r>
          </w:p>
        </w:tc>
      </w:tr>
      <w:tr>
        <w:tc>
          <w:tcPr>
            <w:tcW w:type="dxa" w:w="26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Dossierkopie</w:t>
            </w:r>
          </w:p>
        </w:tc>
        <w:tc>
          <w:tcPr>
            <w:tcW w:type="dxa" w:w="41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Volgens wettelijke en professionele dossierregels van de praktijk.</w:t>
            </w:r>
          </w:p>
        </w:tc>
        <w:tc>
          <w:tcPr>
            <w:tcW w:type="dxa" w:w="26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Praktijk</w:t>
            </w:r>
          </w:p>
        </w:tc>
      </w:tr>
      <w:tr>
        <w:tc>
          <w:tcPr>
            <w:tcW w:type="dxa" w:w="26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Gedownloade audio</w:t>
            </w:r>
          </w:p>
        </w:tc>
        <w:tc>
          <w:tcPr>
            <w:tcW w:type="dxa" w:w="41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Niet langer dan noodzakelijk; lokaal beleid.</w:t>
            </w:r>
          </w:p>
        </w:tc>
        <w:tc>
          <w:tcPr>
            <w:tcW w:type="dxa" w:w="2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Praktijk</w:t>
            </w:r>
          </w:p>
        </w:tc>
      </w:tr>
    </w:tbl>
    <w:p>
      <w:pPr>
        <w:spacing w:after="20"/>
      </w:pP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Algemene verordening gegevensbescherming (AVG)</w:t>
        </w:r>
      </w:hyperlink>
    </w:p>
    <w:p>
      <w:pPr>
        <w:pStyle w:val="ListBullet"/>
        <w:ind w:left="720" w:hanging="360"/>
      </w:pPr>
      <w:hyperlink r:id="rId13">
        <w:r>
          <w:rPr>
            <w:color w:val="1155CC"/>
            <w:u w:val="single"/>
          </w:rPr>
          <w:t>KNMG - AI voor verslaglegging van patiëntgesprekken</w:t>
        </w:r>
      </w:hyperlink>
    </w:p>
    <w:p>
      <w:pPr>
        <w:pStyle w:val="ListBullet"/>
        <w:ind w:left="720" w:hanging="360"/>
      </w:pPr>
      <w:hyperlink r:id="rId14">
        <w:r>
          <w:rPr>
            <w:color w:val="1155CC"/>
            <w:u w:val="single"/>
          </w:rPr>
          <w:t>Scaleway Data Processing Agreement</w:t>
        </w:r>
      </w:hyperlink>
    </w:p>
    <w:p>
      <w:pPr>
        <w:pStyle w:val="ListBullet"/>
        <w:ind w:left="720" w:hanging="360"/>
      </w:pPr>
      <w:hyperlink r:id="rId15">
        <w:r>
          <w:rPr>
            <w:color w:val="1155CC"/>
            <w:u w:val="single"/>
          </w:rPr>
          <w:t>Scaleway Generative APIs - gegevensbescherming</w:t>
        </w:r>
      </w:hyperlink>
    </w:p>
    <w:p>
      <w:pPr>
        <w:pStyle w:val="ListBullet"/>
        <w:ind w:left="720" w:hanging="360"/>
      </w:pPr>
      <w:hyperlink r:id="rId16">
        <w:r>
          <w:rPr>
            <w:color w:val="1155CC"/>
            <w:u w:val="single"/>
          </w:rPr>
          <w:t>Google Privacy Policy</w:t>
        </w:r>
      </w:hyperlink>
    </w:p>
    <w:p>
      <w:pPr>
        <w:pStyle w:val="ListBullet"/>
        <w:ind w:left="720" w:hanging="360"/>
      </w:pPr>
      <w:hyperlink r:id="rId17">
        <w:r>
          <w:rPr>
            <w:color w:val="1155CC"/>
            <w:u w:val="single"/>
          </w:rPr>
          <w:t>Brave Search API Privacy Notice</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AVG-grondslagen en verwerkingsregister</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eur-lex.europa.eu/eli/reg/2016/679/oj" TargetMode="External"/><Relationship Id="rId13" Type="http://schemas.openxmlformats.org/officeDocument/2006/relationships/hyperlink" Target="https://www.knmg.nl/ik-ben-arts/praktijkdilemmas-1/praktijkdilemma/waar-moet-ik-aan-denken-als-ik-ai-wil-gebruiken-voor-de-verslaglegging-van-patientgesprekken" TargetMode="External"/><Relationship Id="rId14" Type="http://schemas.openxmlformats.org/officeDocument/2006/relationships/hyperlink" Target="https://www-uploads.scaleway.com/DPA_2024_ENG_b0abb5cc26.pdf" TargetMode="External"/><Relationship Id="rId15" Type="http://schemas.openxmlformats.org/officeDocument/2006/relationships/hyperlink" Target="https://www.scaleway.com/en/docs/generative-apis/reference-content/data-privacy/" TargetMode="External"/><Relationship Id="rId16" Type="http://schemas.openxmlformats.org/officeDocument/2006/relationships/hyperlink" Target="https://policies.google.com/privacy" TargetMode="External"/><Relationship Id="rId17" Type="http://schemas.openxmlformats.org/officeDocument/2006/relationships/hyperlink" Target="https://api-dashboard.search.brave.com/privacy-poli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