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Scaleway-contractdossier en controlelijst</w:t>
      </w:r>
    </w:p>
    <w:p>
      <w:pPr>
        <w:spacing w:after="280"/>
      </w:pPr>
      <w:r>
        <w:rPr>
          <w:rFonts w:ascii="Calibri" w:hAnsi="Calibri"/>
          <w:color w:val="5C6A63"/>
          <w:sz w:val="25"/>
        </w:rPr>
        <w:t>Bewijs van contractuele en technische zorgvuldigheid</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Dossierstatus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Bijlage bij het 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Deze bijlage hoort bij het Hoofddocument praktijkdossier ZorgTekstAI. De term 'de Praktijk' verwijst naar de praktijk die eenmaal in het hoofddocument is ingevuld. De bijlage wordt niet afzonderlijk ondertekend, maar gezamenlijk vastgesteld door ondertekening van het hoofddocument.</w:t>
            </w:r>
          </w:p>
        </w:tc>
      </w:tr>
    </w:tbl>
    <w:p>
      <w:pPr>
        <w:spacing w:after="20"/>
      </w:pPr>
    </w:p>
    <w:p>
      <w:pPr>
        <w:pStyle w:val="Heading1"/>
      </w:pPr>
      <w:r>
        <w:t>Positie in het praktijkdossier</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Bijlage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03</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Hoofddocument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Van toepassing op</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eenmaal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Doel 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Vastleggen welke contracten en garanties de verwerking ondersteunen</w:t>
            </w:r>
          </w:p>
        </w:tc>
      </w:tr>
    </w:tbl>
    <w:p>
      <w:pPr>
        <w:spacing w:after="20"/>
      </w:pPr>
    </w:p>
    <w:p>
      <w:pPr>
        <w:pStyle w:val="Heading1"/>
      </w:pPr>
      <w:r>
        <w:t>1. Contractketen</w:t>
      </w:r>
    </w:p>
    <w:p>
      <w:r>
        <w:rPr>
          <w:rFonts w:ascii="Calibri" w:hAnsi="Calibri"/>
          <w:color w:val="17221D"/>
        </w:rPr>
        <w:t>Het Scaleway-account staat op naam van Marinus den Breejen. De praktijk sluit daarom een verwerkersovereenkomst met Marinus den Breejen; Scaleway wordt daarin als subverwerker opgenomen. Het ontbreken van een betaalde vergoeding tussen praktijk en Marinus verandert deze rolverdeling niet.</w:t>
      </w:r>
    </w:p>
    <w:p>
      <w:pPr>
        <w:pStyle w:val="Heading1"/>
      </w:pPr>
      <w:r>
        <w:t>2. Te archiveren stukken</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Verwerkersovereenkomst praktijk - Marinus den Breejen.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Scaleway General Terms of Services en versiedatum.</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Scaleway Data Processing Agreement en versiedatum.</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Specific Conditions AI Services.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Specific Conditions Containers Services.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Specific Conditions Storage.</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Technical and Organizational Measures.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ISO/IEC 27001-certificaat / Trust Center-bewijs.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Actuele Scaleway-subprocessorlijst.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Generative APIs Data Privacy-documentatie.</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Generative APIs FAQ met inference-locatie Parijs.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Ticket 1604526 en overige relevante correspondentie.</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Bewijs van accountacceptatie en contracthouder.</w:t>
            </w:r>
          </w:p>
        </w:tc>
      </w:tr>
    </w:tbl>
    <w:p>
      <w:pPr>
        <w:spacing w:after="20"/>
      </w:pPr>
    </w:p>
    <w:p>
      <w:pPr>
        <w:pStyle w:val="Heading1"/>
      </w:pPr>
      <w:r>
        <w:t>3. Architectuurbevestiging</w:t>
      </w:r>
    </w:p>
    <w:tbl>
      <w:tblPr>
        <w:tblW w:type="dxa" w:w="9360"/>
        <w:jc w:val="left"/>
        <w:tblLayout w:type="fixed"/>
        <w:tblLook w:firstColumn="1" w:firstRow="1" w:lastColumn="0" w:lastRow="0" w:noHBand="0" w:noVBand="1" w:val="04A0"/>
        <w:tblInd w:w="120" w:type="dxa"/>
      </w:tblPr>
      <w:tblGrid>
        <w:gridCol w:w="1800"/>
        <w:gridCol w:w="2300"/>
        <w:gridCol w:w="3400"/>
        <w:gridCol w:w="1860"/>
      </w:tblGrid>
      <w:tr>
        <w:tc>
          <w:tcPr>
            <w:tcW w:type="dxa" w:w="18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Onderdeel</w:t>
            </w:r>
          </w:p>
        </w:tc>
        <w:tc>
          <w:tcPr>
            <w:tcW w:type="dxa" w:w="23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Dienst</w:t>
            </w:r>
          </w:p>
        </w:tc>
        <w:tc>
          <w:tcPr>
            <w:tcW w:type="dxa" w:w="34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Regio</w:t>
            </w:r>
          </w:p>
        </w:tc>
        <w:tc>
          <w:tcPr>
            <w:tcW w:type="dxa" w:w="18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Bevestigd op</w:t>
            </w:r>
          </w:p>
        </w:tc>
      </w:tr>
      <w:tr>
        <w:tc>
          <w:tcPr>
            <w:tcW w:type="dxa" w:w="18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Webapp</w:t>
            </w:r>
          </w:p>
        </w:tc>
        <w:tc>
          <w:tcPr>
            <w:tcW w:type="dxa" w:w="23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Serverless Containers</w:t>
            </w:r>
          </w:p>
        </w:tc>
        <w:tc>
          <w:tcPr>
            <w:tcW w:type="dxa" w:w="3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Amsterdam (nl-ams)</w:t>
            </w:r>
          </w:p>
        </w:tc>
        <w:tc>
          <w:tcPr>
            <w:tcW w:type="dxa" w:w="18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[[DATUM]]</w:t>
            </w:r>
          </w:p>
        </w:tc>
      </w:tr>
      <w:tr>
        <w:tc>
          <w:tcPr>
            <w:tcW w:type="dxa" w:w="18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AI-tekst/audio</w:t>
            </w:r>
          </w:p>
        </w:tc>
        <w:tc>
          <w:tcPr>
            <w:tcW w:type="dxa" w:w="23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Generative APIs</w:t>
            </w:r>
          </w:p>
        </w:tc>
        <w:tc>
          <w:tcPr>
            <w:tcW w:type="dxa" w:w="3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Parijs (fr-par)</w:t>
            </w:r>
          </w:p>
        </w:tc>
        <w:tc>
          <w:tcPr>
            <w:tcW w:type="dxa" w:w="18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[[DATUM]]</w:t>
            </w:r>
          </w:p>
        </w:tc>
      </w:tr>
      <w:tr>
        <w:tc>
          <w:tcPr>
            <w:tcW w:type="dxa" w:w="18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Persistente configuratie</w:t>
            </w:r>
          </w:p>
        </w:tc>
        <w:tc>
          <w:tcPr>
            <w:tcW w:type="dxa" w:w="23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Object Storage</w:t>
            </w:r>
          </w:p>
        </w:tc>
        <w:tc>
          <w:tcPr>
            <w:tcW w:type="dxa" w:w="3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Amsterdam (nl-ams)</w:t>
            </w:r>
          </w:p>
        </w:tc>
        <w:tc>
          <w:tcPr>
            <w:tcW w:type="dxa" w:w="18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[[DATUM]]</w:t>
            </w:r>
          </w:p>
        </w:tc>
      </w:tr>
      <w:tr>
        <w:tc>
          <w:tcPr>
            <w:tcW w:type="dxa" w:w="18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Authenticatie</w:t>
            </w:r>
          </w:p>
        </w:tc>
        <w:tc>
          <w:tcPr>
            <w:tcW w:type="dxa" w:w="23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Google OAuth</w:t>
            </w:r>
          </w:p>
        </w:tc>
        <w:tc>
          <w:tcPr>
            <w:tcW w:type="dxa" w:w="34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Niet als EU-only gegarandeerd; geen zorginhoud</w:t>
            </w:r>
          </w:p>
        </w:tc>
        <w:tc>
          <w:tcPr>
            <w:tcW w:type="dxa" w:w="18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[[DATUM]]</w:t>
            </w:r>
          </w:p>
        </w:tc>
      </w:tr>
      <w:tr>
        <w:tc>
          <w:tcPr>
            <w:tcW w:type="dxa" w:w="18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Optioneel zoeken</w:t>
            </w:r>
          </w:p>
        </w:tc>
        <w:tc>
          <w:tcPr>
            <w:tcW w:type="dxa" w:w="23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Brave Search</w:t>
            </w:r>
          </w:p>
        </w:tc>
        <w:tc>
          <w:tcPr>
            <w:tcW w:type="dxa" w:w="34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Buiten Scaleway/EU-only route; geen persoonsgegevens</w:t>
            </w:r>
          </w:p>
        </w:tc>
        <w:tc>
          <w:tcPr>
            <w:tcW w:type="dxa" w:w="18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[[DATUM]]</w:t>
            </w:r>
          </w:p>
        </w:tc>
      </w:tr>
    </w:tbl>
    <w:p>
      <w:pPr>
        <w:spacing w:after="20"/>
      </w:pPr>
    </w:p>
    <w:p>
      <w:pPr>
        <w:pStyle w:val="Heading1"/>
      </w:pPr>
      <w:r>
        <w:t>4. Contractuele aandachtspunten</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Scaleway verwerkt op gedocumenteerde instructie.</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Vertrouwelijkheid en toegangsbeperking zijn beschreven.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Beveiligingsmaatregelen en incidentmelding zijn beschreven.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Subverwerkers en wijzigingsprocedure zijn beoordeeld.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EU-locaties en mogelijke uitzonderingen zijn beoordeeld.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Generative APIs gebruikt inhoud niet voor training.</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Modelmakers hebben volgens Scaleway geen toegang tot inhoud.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Uitzonderlijke volledige HTTP-requestopslag maximaal twee weken is in DPIA verwerkt.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Audit- en informatieverplichtingen zijn voldoende voor de praktijk.</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Beëindiging, verwijdering en teruggave zijn geregeld.</w:t>
            </w:r>
          </w:p>
        </w:tc>
      </w:tr>
    </w:tbl>
    <w:p>
      <w:pPr>
        <w:spacing w:after="20"/>
      </w:pPr>
    </w:p>
    <w:p>
      <w:pPr>
        <w:pStyle w:val="Heading1"/>
      </w:pPr>
      <w:r>
        <w:t>5. Jaarlijkse bevestiging</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Controle uitgevoerd door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Contractversies gewijzigd?</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[[JA/NEE + TOELICHTING]]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Subverwerkers gewijzigd?</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[[JA/NEE + TOELICHTING]]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Locatie/retentie gewijzigd?</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[[JA/NEE + TOELICHTING]]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Acties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Conclusie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 akkoord  ☐ akkoord onder voorwaarden  ☐ gebruik pauzeren</w:t>
            </w:r>
          </w:p>
        </w:tc>
      </w:tr>
    </w:tbl>
    <w:p>
      <w:pPr>
        <w:spacing w:after="20"/>
      </w:pP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Scaleway - contracten en voorwaarden</w:t>
        </w:r>
      </w:hyperlink>
    </w:p>
    <w:p>
      <w:pPr>
        <w:pStyle w:val="ListBullet"/>
        <w:ind w:left="720" w:hanging="360"/>
      </w:pPr>
      <w:hyperlink r:id="rId13">
        <w:r>
          <w:rPr>
            <w:color w:val="1155CC"/>
            <w:u w:val="single"/>
          </w:rPr>
          <w:t>Scaleway Data Processing Agreement</w:t>
        </w:r>
      </w:hyperlink>
    </w:p>
    <w:p>
      <w:pPr>
        <w:pStyle w:val="ListBullet"/>
        <w:ind w:left="720" w:hanging="360"/>
      </w:pPr>
      <w:hyperlink r:id="rId14">
        <w:r>
          <w:rPr>
            <w:color w:val="1155CC"/>
            <w:u w:val="single"/>
          </w:rPr>
          <w:t>Scaleway - technische en organisatorische maatregelen</w:t>
        </w:r>
      </w:hyperlink>
    </w:p>
    <w:p>
      <w:pPr>
        <w:pStyle w:val="ListBullet"/>
        <w:ind w:left="720" w:hanging="360"/>
      </w:pPr>
      <w:hyperlink r:id="rId15">
        <w:r>
          <w:rPr>
            <w:color w:val="1155CC"/>
            <w:u w:val="single"/>
          </w:rPr>
          <w:t>Scaleway Trust Center - ISO-certificaat en auditbewijs</w:t>
        </w:r>
      </w:hyperlink>
    </w:p>
    <w:p>
      <w:pPr>
        <w:pStyle w:val="ListBullet"/>
        <w:ind w:left="720" w:hanging="360"/>
      </w:pPr>
      <w:hyperlink r:id="rId16">
        <w:r>
          <w:rPr>
            <w:color w:val="1155CC"/>
            <w:u w:val="single"/>
          </w:rPr>
          <w:t>Scaleway Generative APIs - gegevensbescherming</w:t>
        </w:r>
      </w:hyperlink>
    </w:p>
    <w:p>
      <w:pPr>
        <w:pStyle w:val="ListBullet"/>
        <w:ind w:left="720" w:hanging="360"/>
      </w:pPr>
      <w:hyperlink r:id="rId17">
        <w:r>
          <w:rPr>
            <w:color w:val="1155CC"/>
            <w:u w:val="single"/>
          </w:rPr>
          <w:t>Scaleway Generative APIs FAQ - locatie inference</w:t>
        </w:r>
      </w:hyperlink>
    </w:p>
    <w:p>
      <w:pPr>
        <w:pStyle w:val="ListBullet"/>
        <w:ind w:left="720" w:hanging="360"/>
      </w:pPr>
      <w:hyperlink r:id="rId18">
        <w:r>
          <w:rPr>
            <w:color w:val="1155CC"/>
            <w:u w:val="single"/>
          </w:rPr>
          <w:t>Scaleway - lijst van subverwerkers</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Scaleway-contractdossier en controlelijst</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www.scaleway.com/en/contracts/" TargetMode="External"/><Relationship Id="rId13" Type="http://schemas.openxmlformats.org/officeDocument/2006/relationships/hyperlink" Target="https://www-uploads.scaleway.com/DPA_2024_ENG_b0abb5cc26.pdf" TargetMode="External"/><Relationship Id="rId14" Type="http://schemas.openxmlformats.org/officeDocument/2006/relationships/hyperlink" Target="https://www-uploads.scaleway.com/Technical_and_Organizational_Measures_v17072024_a74508104e.pdf" TargetMode="External"/><Relationship Id="rId15" Type="http://schemas.openxmlformats.org/officeDocument/2006/relationships/hyperlink" Target="https://security.scaleway.com/?itemUid=1fed9faa-4a87-427c-9a95-96b4d6bf66b7" TargetMode="External"/><Relationship Id="rId16" Type="http://schemas.openxmlformats.org/officeDocument/2006/relationships/hyperlink" Target="https://www.scaleway.com/en/docs/generative-apis/reference-content/data-privacy/" TargetMode="External"/><Relationship Id="rId17" Type="http://schemas.openxmlformats.org/officeDocument/2006/relationships/hyperlink" Target="https://www.scaleway.com/en/docs/generative-apis/faq/" TargetMode="External"/><Relationship Id="rId18" Type="http://schemas.openxmlformats.org/officeDocument/2006/relationships/hyperlink" Target="https://www.scaleway.com/en/subprocessorli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