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Beoogd gebruik en voorlopige MDR/AI-classificatie</w:t>
      </w:r>
    </w:p>
    <w:p>
      <w:pPr>
        <w:spacing w:after="280"/>
      </w:pPr>
      <w:r>
        <w:rPr>
          <w:rFonts w:ascii="Calibri" w:hAnsi="Calibri"/>
          <w:color w:val="5C6A63"/>
          <w:sz w:val="25"/>
        </w:rPr>
        <w:t>Afbakening van functie, claims en feitelijk gebruik</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05</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Vastleggen dat ZorgTekstAI geen autonome klinische functie heeft</w:t>
            </w:r>
          </w:p>
        </w:tc>
      </w:tr>
    </w:tbl>
    <w:p>
      <w:pPr>
        <w:spacing w:after="20"/>
      </w:pPr>
    </w:p>
    <w:p>
      <w:pPr>
        <w:pStyle w:val="Heading1"/>
      </w:pPr>
      <w:r>
        <w:t>1. Beoogd gebruik</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EAF5EE"/>
            <w:tcBorders>
              <w:top w:val="single" w:sz="2" w:space="0" w:color="EAF5EE"/>
              <w:start w:val="single" w:sz="18" w:space="0" w:color="073E2A"/>
              <w:bottom w:val="single" w:sz="2" w:space="0" w:color="EAF5EE"/>
              <w:end w:val="single" w:sz="2" w:space="0" w:color="EAF5EE"/>
            </w:tcBorders>
          </w:tcPr>
          <w:p>
            <w:pPr>
              <w:spacing w:after="40"/>
            </w:pPr>
            <w:r>
              <w:rPr>
                <w:rFonts w:ascii="Calibri" w:hAnsi="Calibri"/>
                <w:b/>
                <w:color w:val="073E2A"/>
                <w:sz w:val="20"/>
              </w:rPr>
              <w:t>Formele gebruiksclaim</w:t>
            </w:r>
          </w:p>
          <w:p>
            <w:pPr>
              <w:spacing w:after="0"/>
            </w:pPr>
            <w:r>
              <w:rPr>
                <w:rFonts w:ascii="Calibri" w:hAnsi="Calibri"/>
                <w:color w:val="17221D"/>
                <w:sz w:val="19"/>
              </w:rPr>
              <w:t>ZorgTekstAI is bedoeld voor administratieve ondersteuning en informatievoorziening aan een gekwalificeerde zorgprofessional. De toepassing is niet bedoeld voor diagnose, triage, behandeladvies, voorschrijven of zelfstandige klinische besluitvorming. Iedere uitkomst is een AI-concept.</w:t>
            </w:r>
          </w:p>
        </w:tc>
      </w:tr>
    </w:tbl>
    <w:p>
      <w:pPr>
        <w:spacing w:after="20"/>
      </w:pPr>
    </w:p>
    <w:p>
      <w:pPr>
        <w:pStyle w:val="Heading1"/>
      </w:pPr>
      <w:r>
        <w:t>2. Toegestane functies</w:t>
      </w:r>
    </w:p>
    <w:p>
      <w:pPr>
        <w:pStyle w:val="ListBullet"/>
        <w:spacing w:after="80"/>
        <w:ind w:left="720" w:hanging="360"/>
      </w:pPr>
      <w:r>
        <w:rPr>
          <w:rFonts w:ascii="Calibri" w:hAnsi="Calibri"/>
          <w:color w:val="17221D"/>
        </w:rPr>
        <w:t>Transcriptie en conceptverslaglegging.</w:t>
      </w:r>
    </w:p>
    <w:p>
      <w:pPr>
        <w:pStyle w:val="ListBullet"/>
        <w:spacing w:after="80"/>
        <w:ind w:left="720" w:hanging="360"/>
      </w:pPr>
      <w:r>
        <w:rPr>
          <w:rFonts w:ascii="Calibri" w:hAnsi="Calibri"/>
          <w:color w:val="17221D"/>
        </w:rPr>
        <w:t>Samenvatting en structurering van aangeleverde informatie.</w:t>
      </w:r>
    </w:p>
    <w:p>
      <w:pPr>
        <w:pStyle w:val="ListBullet"/>
        <w:spacing w:after="80"/>
        <w:ind w:left="720" w:hanging="360"/>
      </w:pPr>
      <w:r>
        <w:rPr>
          <w:rFonts w:ascii="Calibri" w:hAnsi="Calibri"/>
          <w:color w:val="17221D"/>
        </w:rPr>
        <w:t>Conceptbrieven en taalondersteuning.</w:t>
      </w:r>
    </w:p>
    <w:p>
      <w:pPr>
        <w:pStyle w:val="ListBullet"/>
        <w:spacing w:after="80"/>
        <w:ind w:left="720" w:hanging="360"/>
      </w:pPr>
      <w:r>
        <w:rPr>
          <w:rFonts w:ascii="Calibri" w:hAnsi="Calibri"/>
          <w:color w:val="17221D"/>
        </w:rPr>
        <w:t>Algemene informatie en bronmateriaal.</w:t>
      </w:r>
    </w:p>
    <w:p>
      <w:pPr>
        <w:pStyle w:val="ListBullet"/>
        <w:spacing w:after="80"/>
        <w:ind w:left="720" w:hanging="360"/>
      </w:pPr>
      <w:r>
        <w:rPr>
          <w:rFonts w:ascii="Calibri" w:hAnsi="Calibri"/>
          <w:color w:val="17221D"/>
        </w:rPr>
        <w:t>Geen inhoudelijke goedkeuringsstatus; de app toont altijd AI-concept.</w:t>
      </w:r>
    </w:p>
    <w:p>
      <w:pPr>
        <w:pStyle w:val="Heading1"/>
      </w:pPr>
      <w:r>
        <w:t>3. Voorlopige MDR-beoordeling</w:t>
      </w:r>
    </w:p>
    <w:p>
      <w:r>
        <w:rPr>
          <w:rFonts w:ascii="Calibri" w:hAnsi="Calibri"/>
          <w:color w:val="17221D"/>
        </w:rPr>
        <w:t>Op basis van dit beoogde gebruik is ZorgTekstAI voorlopig niet bedoeld als software die zelfstandig informatie levert voor een diagnose- of behandelbeslissing. Daarmee is de toepassing naar huidige inschatting niet als medisch hulpmiddel gepositioneerd. Deze conclusie is afhankelijk van claims én feitelijk gebruik en is geen formele classificatie door een bevoegde autoriteit.</w:t>
      </w: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CE8E6"/>
            <w:tcBorders>
              <w:top w:val="single" w:sz="2" w:space="0" w:color="FCE8E6"/>
              <w:start w:val="single" w:sz="18" w:space="0" w:color="8C1D18"/>
              <w:bottom w:val="single" w:sz="2" w:space="0" w:color="FCE8E6"/>
              <w:end w:val="single" w:sz="2" w:space="0" w:color="FCE8E6"/>
            </w:tcBorders>
          </w:tcPr>
          <w:p>
            <w:pPr>
              <w:spacing w:after="40"/>
            </w:pPr>
            <w:r>
              <w:rPr>
                <w:rFonts w:ascii="Calibri" w:hAnsi="Calibri"/>
                <w:b/>
                <w:color w:val="8C1D18"/>
                <w:sz w:val="20"/>
              </w:rPr>
              <w:t>Herbeoordeling verplicht</w:t>
            </w:r>
          </w:p>
          <w:p>
            <w:pPr>
              <w:spacing w:after="0"/>
            </w:pPr>
            <w:r>
              <w:rPr>
                <w:rFonts w:ascii="Calibri" w:hAnsi="Calibri"/>
                <w:color w:val="17221D"/>
                <w:sz w:val="19"/>
              </w:rPr>
              <w:t>Voeg geen patiëntspecifieke diagnose, risicoscore, behandelkeuze, medicatieadvies, triage of andere beslissingsfunctie toe zonder voorafgaande MDR- en AI Act-beoordeling.</w:t>
            </w:r>
          </w:p>
        </w:tc>
      </w:tr>
    </w:tbl>
    <w:p>
      <w:pPr>
        <w:spacing w:after="20"/>
      </w:pPr>
    </w:p>
    <w:p>
      <w:pPr>
        <w:pStyle w:val="Heading1"/>
      </w:pPr>
      <w:r>
        <w:t>4. Voorlopige AI Act-beoordeling</w:t>
      </w:r>
    </w:p>
    <w:p>
      <w:pPr>
        <w:pStyle w:val="ListBullet"/>
        <w:spacing w:after="80"/>
        <w:ind w:left="720" w:hanging="360"/>
      </w:pPr>
      <w:r>
        <w:rPr>
          <w:rFonts w:ascii="Calibri" w:hAnsi="Calibri"/>
          <w:color w:val="17221D"/>
        </w:rPr>
        <w:t>De praktijk gebruikt een generatief AI-systeem en moet passende AI-geletterdheid organiseren.</w:t>
      </w:r>
    </w:p>
    <w:p>
      <w:pPr>
        <w:pStyle w:val="ListBullet"/>
        <w:spacing w:after="80"/>
        <w:ind w:left="720" w:hanging="360"/>
      </w:pPr>
      <w:r>
        <w:rPr>
          <w:rFonts w:ascii="Calibri" w:hAnsi="Calibri"/>
          <w:color w:val="17221D"/>
        </w:rPr>
        <w:t>Er vindt geen uitsluitend geautomatiseerde beslissing met rechts- of vergelijkbaar effect plaats.</w:t>
      </w:r>
    </w:p>
    <w:p>
      <w:pPr>
        <w:pStyle w:val="ListBullet"/>
        <w:spacing w:after="80"/>
        <w:ind w:left="720" w:hanging="360"/>
      </w:pPr>
      <w:r>
        <w:rPr>
          <w:rFonts w:ascii="Calibri" w:hAnsi="Calibri"/>
          <w:color w:val="17221D"/>
        </w:rPr>
        <w:t>ZorgTekstAI is binnen het vastgelegde doel niet als hoog-risicomedische AI gepositioneerd.</w:t>
      </w:r>
    </w:p>
    <w:p>
      <w:pPr>
        <w:pStyle w:val="ListBullet"/>
        <w:spacing w:after="80"/>
        <w:ind w:left="720" w:hanging="360"/>
      </w:pPr>
      <w:r>
        <w:rPr>
          <w:rFonts w:ascii="Calibri" w:hAnsi="Calibri"/>
          <w:color w:val="17221D"/>
        </w:rPr>
        <w:t>Marinus en de praktijken volgen wijzigingen in de AI Act en de definitieve classificatierichtsnoeren.</w:t>
      </w:r>
    </w:p>
    <w:p>
      <w:pPr>
        <w:pStyle w:val="ListBullet"/>
        <w:spacing w:after="80"/>
        <w:ind w:left="720" w:hanging="360"/>
      </w:pPr>
      <w:r>
        <w:rPr>
          <w:rFonts w:ascii="Calibri" w:hAnsi="Calibri"/>
          <w:color w:val="17221D"/>
        </w:rPr>
        <w:t>De rolverdeling provider/deployer en verplichtingen worden opnieuw beoordeeld bij commerciële uitrol of materiële functiewijziging.</w:t>
      </w:r>
    </w:p>
    <w:p>
      <w:pPr>
        <w:pStyle w:val="Heading1"/>
      </w:pPr>
      <w:r>
        <w:t>5. Feitelijke gebruikscontrole</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Gebruikers weten dat output niet klinisch is gevalideerd.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Iedere output is zichtbaar gemarkeerd als AI-concept.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Professionals vergelijken output met de bron.</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De applicatie weigert of ontmoedigt autonome diagnose en besluitvorming overeenkomstig beleid.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Marketing, naamgeving en instructies bevatten geen medische prestatieclaim.</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Incidenten en gebruikspatronen tonen geen structureel gebruik buiten de afbakening.</w:t>
            </w:r>
          </w:p>
        </w:tc>
      </w:tr>
    </w:tbl>
    <w:p>
      <w:pPr>
        <w:spacing w:after="20"/>
      </w:pPr>
    </w:p>
    <w:p>
      <w:pPr>
        <w:pStyle w:val="Heading1"/>
      </w:pPr>
      <w:r>
        <w:t>6. Conclusie praktijk</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Beoogd gebruik aanvaard?</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Feitelijk gebruik past binnen afbakening?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TOELICHTING]]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Aanvullend deskundig advies nodig?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[[JA/NEE + TOELICHTING]]</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Herbeoordeling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Jaarlijks en vóór iedere materiële functiewijziging</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Medical Device Regulation (EU) 2017/745</w:t>
        </w:r>
      </w:hyperlink>
    </w:p>
    <w:p>
      <w:pPr>
        <w:pStyle w:val="ListBullet"/>
        <w:ind w:left="720" w:hanging="360"/>
      </w:pPr>
      <w:hyperlink r:id="rId13">
        <w:r>
          <w:rPr>
            <w:color w:val="1155CC"/>
            <w:u w:val="single"/>
          </w:rPr>
          <w:t>AI-verordening (EU) 2024/1689</w:t>
        </w:r>
      </w:hyperlink>
    </w:p>
    <w:p>
      <w:pPr>
        <w:pStyle w:val="ListBullet"/>
        <w:ind w:left="720" w:hanging="360"/>
      </w:pPr>
      <w:hyperlink r:id="rId14">
        <w:r>
          <w:rPr>
            <w:color w:val="1155CC"/>
            <w:u w:val="single"/>
          </w:rPr>
          <w:t>Europese Commissie - AI-geletterdheid</w:t>
        </w:r>
      </w:hyperlink>
    </w:p>
    <w:p>
      <w:pPr>
        <w:pStyle w:val="ListBullet"/>
        <w:ind w:left="720" w:hanging="360"/>
      </w:pPr>
      <w:hyperlink r:id="rId15">
        <w:r>
          <w:rPr>
            <w:color w:val="1155CC"/>
            <w:u w:val="single"/>
          </w:rPr>
          <w:t>IGJ - zorgvuldig omgaan met generatieve AI in de zorg</w:t>
        </w:r>
      </w:hyperlink>
    </w:p>
    <w:p>
      <w:pPr>
        <w:pStyle w:val="ListBullet"/>
        <w:ind w:left="720" w:hanging="360"/>
      </w:pPr>
      <w:hyperlink r:id="rId16">
        <w:r>
          <w:rPr>
            <w:color w:val="1155CC"/>
            <w:u w:val="single"/>
          </w:rPr>
          <w:t>KNMG - AI voor verslaglegging van patiëntgesprekken</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Beoogd gebruik en voorlopige MDR/AI-classificatie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eur-lex.europa.eu/eli/reg/2017/745/oj" TargetMode="External"/><Relationship Id="rId13" Type="http://schemas.openxmlformats.org/officeDocument/2006/relationships/hyperlink" Target="https://eur-lex.europa.eu/eli/reg/2024/1689/oj" TargetMode="External"/><Relationship Id="rId14" Type="http://schemas.openxmlformats.org/officeDocument/2006/relationships/hyperlink" Target="https://digital-strategy.ec.europa.eu/en/faqs/ai-literacy-questions-answers" TargetMode="External"/><Relationship Id="rId15" Type="http://schemas.openxmlformats.org/officeDocument/2006/relationships/hyperlink" Target="https://www.igj.nl/documenten/2025/02/10/igj-roept-zorgaanbieders-op-ga-zorgvuldig-om-met-invoering-van-generatieve-ai-toepassingen" TargetMode="External"/><Relationship Id="rId16" Type="http://schemas.openxmlformats.org/officeDocument/2006/relationships/hyperlink" Target="https://www.knmg.nl/ik-ben-arts/praktijkdilemmas-1/praktijkdilemma/waar-moet-ik-aan-denken-als-ik-ai-wil-gebruiken-voor-de-verslaglegging-van-patientgesprekke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