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Risicoanalyse AI-chat en internetzoeken</w:t>
      </w:r>
    </w:p>
    <w:p>
      <w:pPr>
        <w:spacing w:after="280"/>
      </w:pPr>
      <w:r>
        <w:rPr>
          <w:rFonts w:ascii="Calibri" w:hAnsi="Calibri"/>
          <w:color w:val="5C6A63"/>
          <w:sz w:val="25"/>
        </w:rPr>
        <w:t>Twee gegevensroutes met verschillende gebruiksregels</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Risico's van algemene chat en Brave Search beoordelen</w:t>
            </w:r>
          </w:p>
        </w:tc>
      </w:tr>
    </w:tbl>
    <w:p>
      <w:pPr>
        <w:spacing w:after="20"/>
      </w:pPr>
    </w:p>
    <w:p>
      <w:pPr>
        <w:pStyle w:val="Heading1"/>
      </w:pPr>
      <w:r>
        <w:t>1. Twee routes</w:t>
      </w:r>
    </w:p>
    <w:tbl>
      <w:tblPr>
        <w:tblW w:type="dxa" w:w="9360"/>
        <w:jc w:val="left"/>
        <w:tblLayout w:type="fixed"/>
        <w:tblLook w:firstColumn="1" w:firstRow="1" w:lastColumn="0" w:lastRow="0" w:noHBand="0" w:noVBand="1" w:val="04A0"/>
        <w:tblInd w:w="120" w:type="dxa"/>
      </w:tblPr>
      <w:tblGrid>
        <w:gridCol w:w="1700"/>
        <w:gridCol w:w="2600"/>
        <w:gridCol w:w="2900"/>
        <w:gridCol w:w="2160"/>
      </w:tblGrid>
      <w:tr>
        <w:tc>
          <w:tcPr>
            <w:tcW w:type="dxa" w:w="1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Route</w:t>
            </w:r>
          </w:p>
        </w:tc>
        <w:tc>
          <w:tcPr>
            <w:tcW w:type="dxa" w:w="26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Patiëntgegevens</w:t>
            </w:r>
          </w:p>
        </w:tc>
        <w:tc>
          <w:tcPr>
            <w:tcW w:type="dxa" w:w="29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Technische route</w:t>
            </w:r>
          </w:p>
        </w:tc>
        <w:tc>
          <w:tcPr>
            <w:tcW w:type="dxa" w:w="21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Gebruiksregel</w:t>
            </w:r>
          </w:p>
        </w:tc>
      </w:tr>
      <w:tr>
        <w:tc>
          <w:tcPr>
            <w:tcW w:type="dxa" w:w="1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Zonder internetzoeken</w:t>
            </w:r>
          </w:p>
        </w:tc>
        <w:tc>
          <w:tcPr>
            <w:tcW w:type="dxa" w:w="2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Toegestaan indien noodzakelijk en volgens praktijkbeleid.</w:t>
            </w:r>
          </w:p>
        </w:tc>
        <w:tc>
          <w:tcPr>
            <w:tcW w:type="dxa" w:w="2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ZorgTekstAI naar Scaleway Generative APIs in Parijs.</w:t>
            </w:r>
          </w:p>
        </w:tc>
        <w:tc>
          <w:tcPr>
            <w:tcW w:type="dxa" w:w="21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Menselijke controle; niet lokaal op het apparaat.</w:t>
            </w:r>
          </w:p>
        </w:tc>
      </w:tr>
      <w:tr>
        <w:tc>
          <w:tcPr>
            <w:tcW w:type="dxa" w:w="1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Met internetzoeken</w:t>
            </w:r>
          </w:p>
        </w:tc>
        <w:tc>
          <w:tcPr>
            <w:tcW w:type="dxa" w:w="2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Altijd verboden.</w:t>
            </w:r>
          </w:p>
        </w:tc>
        <w:tc>
          <w:tcPr>
            <w:tcW w:type="dxa" w:w="29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Algemene zoekterm naar Brave Search; resultaten terug naar EU-AI-route.</w:t>
            </w:r>
          </w:p>
        </w:tc>
        <w:tc>
          <w:tcPr>
            <w:tcW w:type="dxa" w:w="21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Expliciete bevestiging per gebruik.</w:t>
            </w:r>
          </w:p>
        </w:tc>
      </w:tr>
    </w:tbl>
    <w:p>
      <w:pPr>
        <w:spacing w:after="20"/>
      </w:pPr>
    </w:p>
    <w:p>
      <w:pPr>
        <w:pStyle w:val="Heading1"/>
      </w:pPr>
      <w:r>
        <w:t>2. Risicomatrix</w:t>
      </w:r>
    </w:p>
    <w:tbl>
      <w:tblPr>
        <w:tblW w:type="dxa" w:w="9360"/>
        <w:jc w:val="left"/>
        <w:tblLayout w:type="fixed"/>
        <w:tblLook w:firstColumn="1" w:firstRow="1" w:lastColumn="0" w:lastRow="0" w:noHBand="0" w:noVBand="1" w:val="04A0"/>
        <w:tblInd w:w="120" w:type="dxa"/>
      </w:tblPr>
      <w:tblGrid>
        <w:gridCol w:w="600"/>
        <w:gridCol w:w="3000"/>
        <w:gridCol w:w="1100"/>
        <w:gridCol w:w="3500"/>
        <w:gridCol w:w="1160"/>
      </w:tblGrid>
      <w:tr>
        <w:tc>
          <w:tcPr>
            <w:tcW w:type="dxa" w:w="6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ID</w:t>
            </w:r>
          </w:p>
        </w:tc>
        <w:tc>
          <w:tcPr>
            <w:tcW w:type="dxa" w:w="30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Risico</w:t>
            </w:r>
          </w:p>
        </w:tc>
        <w:tc>
          <w:tcPr>
            <w:tcW w:type="dxa" w:w="11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Initieel</w:t>
            </w:r>
          </w:p>
        </w:tc>
        <w:tc>
          <w:tcPr>
            <w:tcW w:type="dxa" w:w="35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Maatregelen</w:t>
            </w:r>
          </w:p>
        </w:tc>
        <w:tc>
          <w:tcPr>
            <w:tcW w:type="dxa" w:w="11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Restrisico</w:t>
            </w:r>
          </w:p>
        </w:tc>
      </w:tr>
      <w:tr>
        <w:tc>
          <w:tcPr>
            <w:tcW w:type="dxa" w:w="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S1</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Model neemt patiëntdetail op in internetzoekterm.</w:t>
            </w:r>
          </w:p>
        </w:tc>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Hoog</w:t>
            </w:r>
          </w:p>
        </w:tc>
        <w:tc>
          <w:tcPr>
            <w:tcW w:type="dxa" w:w="3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Opt-in, verbod, waarschuwing, schone context.</w:t>
            </w:r>
          </w:p>
        </w:tc>
        <w:tc>
          <w:tcPr>
            <w:tcW w:type="dxa" w:w="11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Middel</w:t>
            </w:r>
          </w:p>
        </w:tc>
      </w:tr>
      <w:tr>
        <w:tc>
          <w:tcPr>
            <w:tcW w:type="dxa" w:w="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S2</w:t>
            </w:r>
          </w:p>
        </w:tc>
        <w:tc>
          <w:tcPr>
            <w:tcW w:type="dxa" w:w="3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Gebruiker denkt ten onrechte dat 'zonder internet' lokaal apparaat betekent.</w:t>
            </w:r>
          </w:p>
        </w:tc>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Middel</w:t>
            </w:r>
          </w:p>
        </w:tc>
        <w:tc>
          <w:tcPr>
            <w:tcW w:type="dxa" w:w="3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Noem Scaleway/Parijs expliciet.</w:t>
            </w:r>
          </w:p>
        </w:tc>
        <w:tc>
          <w:tcPr>
            <w:tcW w:type="dxa" w:w="11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Laag</w:t>
            </w:r>
          </w:p>
        </w:tc>
      </w:tr>
      <w:tr>
        <w:tc>
          <w:tcPr>
            <w:tcW w:type="dxa" w:w="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S3</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Bron is verouderd, commercieel of niet toepasbaar.</w:t>
            </w:r>
          </w:p>
        </w:tc>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Hoog</w:t>
            </w:r>
          </w:p>
        </w:tc>
        <w:tc>
          <w:tcPr>
            <w:tcW w:type="dxa" w:w="3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Bron-, auteur-, datum- en richtlijncontrole.</w:t>
            </w:r>
          </w:p>
        </w:tc>
        <w:tc>
          <w:tcPr>
            <w:tcW w:type="dxa" w:w="11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Middel</w:t>
            </w:r>
          </w:p>
        </w:tc>
      </w:tr>
      <w:tr>
        <w:tc>
          <w:tcPr>
            <w:tcW w:type="dxa" w:w="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S4</w:t>
            </w:r>
          </w:p>
        </w:tc>
        <w:tc>
          <w:tcPr>
            <w:tcW w:type="dxa" w:w="3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 verzint bron of trekt onjuiste conclusie.</w:t>
            </w:r>
          </w:p>
        </w:tc>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Hoog</w:t>
            </w:r>
          </w:p>
        </w:tc>
        <w:tc>
          <w:tcPr>
            <w:tcW w:type="dxa" w:w="3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Open originele bron; AI-concept; professionele controle.</w:t>
            </w:r>
          </w:p>
        </w:tc>
        <w:tc>
          <w:tcPr>
            <w:tcW w:type="dxa" w:w="11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Middel</w:t>
            </w:r>
          </w:p>
        </w:tc>
      </w:tr>
      <w:tr>
        <w:tc>
          <w:tcPr>
            <w:tcW w:type="dxa" w:w="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S5</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Zeldzame casusdetails zijn indirect herleidbaar.</w:t>
            </w:r>
          </w:p>
        </w:tc>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Hoog</w:t>
            </w:r>
          </w:p>
        </w:tc>
        <w:tc>
          <w:tcPr>
            <w:tcW w:type="dxa" w:w="3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Geen casuscontext bij internetzoeken; generaliseren.</w:t>
            </w:r>
          </w:p>
        </w:tc>
        <w:tc>
          <w:tcPr>
            <w:tcW w:type="dxa" w:w="11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Laag/middel</w:t>
            </w:r>
          </w:p>
        </w:tc>
      </w:tr>
      <w:tr>
        <w:tc>
          <w:tcPr>
            <w:tcW w:type="dxa" w:w="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S6</w:t>
            </w:r>
          </w:p>
        </w:tc>
        <w:tc>
          <w:tcPr>
            <w:tcW w:type="dxa" w:w="3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Zoekquery wordt door Brave bewaard.</w:t>
            </w:r>
          </w:p>
        </w:tc>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Middel</w:t>
            </w:r>
          </w:p>
        </w:tc>
        <w:tc>
          <w:tcPr>
            <w:tcW w:type="dxa" w:w="3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Geen persoonsgegevens; transparantie; max. 90 dagen volgens Brave.</w:t>
            </w:r>
          </w:p>
        </w:tc>
        <w:tc>
          <w:tcPr>
            <w:tcW w:type="dxa" w:w="11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Laag</w:t>
            </w:r>
          </w:p>
        </w:tc>
      </w:tr>
      <w:tr>
        <w:tc>
          <w:tcPr>
            <w:tcW w:type="dxa" w:w="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S7</w:t>
            </w:r>
          </w:p>
        </w:tc>
        <w:tc>
          <w:tcPr>
            <w:tcW w:type="dxa" w:w="30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Klinische informatie wordt als behandeladvies overgenomen.</w:t>
            </w:r>
          </w:p>
        </w:tc>
        <w:tc>
          <w:tcPr>
            <w:tcW w:type="dxa" w:w="1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Hoog</w:t>
            </w:r>
          </w:p>
        </w:tc>
        <w:tc>
          <w:tcPr>
            <w:tcW w:type="dxa" w:w="3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Gebruik als bronmateriaal; risicoanalyse; professional beslist.</w:t>
            </w:r>
          </w:p>
        </w:tc>
        <w:tc>
          <w:tcPr>
            <w:tcW w:type="dxa" w:w="11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Middel</w:t>
            </w:r>
          </w:p>
        </w:tc>
      </w:tr>
      <w:tr>
        <w:tc>
          <w:tcPr>
            <w:tcW w:type="dxa" w:w="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S8</w:t>
            </w:r>
          </w:p>
        </w:tc>
        <w:tc>
          <w:tcPr>
            <w:tcW w:type="dxa" w:w="30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Crisis- of medicatievraag krijgt onveilig antwoord.</w:t>
            </w:r>
          </w:p>
        </w:tc>
        <w:tc>
          <w:tcPr>
            <w:tcW w:type="dxa" w:w="1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Hoog</w:t>
            </w:r>
          </w:p>
        </w:tc>
        <w:tc>
          <w:tcPr>
            <w:tcW w:type="dxa" w:w="3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Geen autonome beslissing; volg professionele richtlijnen en spoedroute.</w:t>
            </w:r>
          </w:p>
        </w:tc>
        <w:tc>
          <w:tcPr>
            <w:tcW w:type="dxa" w:w="11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Middel</w:t>
            </w:r>
          </w:p>
        </w:tc>
      </w:tr>
    </w:tbl>
    <w:p>
      <w:pPr>
        <w:spacing w:after="20"/>
      </w:pPr>
    </w:p>
    <w:p>
      <w:pPr>
        <w:pStyle w:val="Heading1"/>
      </w:pPr>
      <w:r>
        <w:t>3. Verplichte gebruikersverklaring internetzoeken</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Te bevestigen</w:t>
            </w:r>
          </w:p>
          <w:p>
            <w:pPr>
              <w:spacing w:after="0"/>
            </w:pPr>
            <w:r>
              <w:rPr>
                <w:rFonts w:ascii="Calibri" w:hAnsi="Calibri"/>
                <w:color w:val="17221D"/>
                <w:sz w:val="19"/>
              </w:rPr>
              <w:t>Ik bevestig dat deze zoekvraag en de beschikbare context geen naam, medische informatie, gesprekstekst, casusdetails of andere persoonsgegevens bevatten. Ik begrijp dat de zoekterm naar Brave Search gaat en buiten de Scaleway EU-only gegevensroute valt.</w:t>
            </w:r>
          </w:p>
        </w:tc>
      </w:tr>
    </w:tbl>
    <w:p>
      <w:pPr>
        <w:spacing w:after="20"/>
      </w:pPr>
    </w:p>
    <w:p>
      <w:pPr>
        <w:pStyle w:val="Heading1"/>
      </w:pPr>
      <w:r>
        <w:t>4. Broncontrole</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Originele publicatie geopend.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Auteur/organisatie en publicatiedatum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Toepassingsgebied en patiëntpopulatie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Richtlijnstatus, bewijsniveau en eventuele belangen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Geen AI-verzonnen bron of citaat overgenomen.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Onzekerheid en conflicterende informatie vastgelegd.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uitkomst niet als zelfstandig behandeladvies gebruikt.</w:t>
            </w:r>
          </w:p>
        </w:tc>
      </w:tr>
    </w:tbl>
    <w:p>
      <w:pPr>
        <w:spacing w:after="20"/>
      </w:pPr>
    </w:p>
    <w:p>
      <w:pPr>
        <w:pStyle w:val="Heading1"/>
      </w:pPr>
      <w:r>
        <w:t>5. Praktijkbesluit</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Internetzoeken toegestaan?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 ja  ☐ nee  ☐ alleen aangewezen gebruikers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Aangewezen gebruikers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Aanvullende lokale beperkingen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Restrisico geaccepteerd?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MOTIVERING]]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Evaluatiedatum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IGJ - zorgvuldig omgaan met generatieve AI in de zorg</w:t>
        </w:r>
      </w:hyperlink>
    </w:p>
    <w:p>
      <w:pPr>
        <w:pStyle w:val="ListBullet"/>
        <w:ind w:left="720" w:hanging="360"/>
      </w:pPr>
      <w:hyperlink r:id="rId14">
        <w:r>
          <w:rPr>
            <w:color w:val="1155CC"/>
            <w:u w:val="single"/>
          </w:rPr>
          <w:t>Scaleway Generative APIs - gegevensbescherming</w:t>
        </w:r>
      </w:hyperlink>
    </w:p>
    <w:p>
      <w:pPr>
        <w:pStyle w:val="ListBullet"/>
        <w:ind w:left="720" w:hanging="360"/>
      </w:pPr>
      <w:hyperlink r:id="rId15">
        <w:r>
          <w:rPr>
            <w:color w:val="1155CC"/>
            <w:u w:val="single"/>
          </w:rPr>
          <w:t>Brave Search API Privacy Notice</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Risicoanalyse AI-chat en internetzoeken</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igj.nl/documenten/2025/02/10/igj-roept-zorgaanbieders-op-ga-zorgvuldig-om-met-invoering-van-generatieve-ai-toepassingen" TargetMode="External"/><Relationship Id="rId14" Type="http://schemas.openxmlformats.org/officeDocument/2006/relationships/hyperlink" Target="https://www.scaleway.com/en/docs/generative-apis/reference-content/data-privacy/" TargetMode="External"/><Relationship Id="rId15" Type="http://schemas.openxmlformats.org/officeDocument/2006/relationships/hyperlink" Target="https://api-dashboard.search.brave.com/privacy-poli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