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Lokale rollen, sessies en vertrouwde apparaten</w:t>
      </w:r>
    </w:p>
    <w:p>
      <w:pPr>
        <w:spacing w:after="280"/>
      </w:pPr>
      <w:r>
        <w:rPr>
          <w:rFonts w:ascii="Calibri" w:hAnsi="Calibri"/>
          <w:color w:val="5C6A63"/>
          <w:sz w:val="25"/>
        </w:rPr>
        <w:t>Praktijkspecifieke autorisatie- en apparaatverklaring</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Lokale toegang en apparaatverantwoordelijkheid vastleggen</w:t>
            </w:r>
          </w:p>
        </w:tc>
      </w:tr>
    </w:tbl>
    <w:p>
      <w:pPr>
        <w:spacing w:after="20"/>
      </w:pPr>
    </w:p>
    <w:p>
      <w:pPr>
        <w:pStyle w:val="Heading1"/>
      </w:pPr>
      <w:r>
        <w:t>1. Centrale technische rollen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Beheerder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marinusdenbreejen@gmail.com - enige technische beheerder</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Gewone gebruiker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Vooraf goedgekeurde huisarts of psycholoog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Beoordeling AI-output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Geen beheerdersfunctie; iedere uitkomst blijft AI-concept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Audittoegang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Alleen technische beheerder; geen patiëntinhoud</w:t>
            </w:r>
          </w:p>
        </w:tc>
      </w:tr>
    </w:tbl>
    <w:p>
      <w:pPr>
        <w:spacing w:after="20"/>
      </w:pPr>
    </w:p>
    <w:p>
      <w:pPr>
        <w:pStyle w:val="Heading1"/>
      </w:pPr>
      <w:r>
        <w:t>2. Lokale gebruikerslijst</w:t>
      </w:r>
    </w:p>
    <w:tbl>
      <w:tblPr>
        <w:tblW w:type="dxa" w:w="9360"/>
        <w:jc w:val="left"/>
        <w:tblLayout w:type="fixed"/>
        <w:tblLook w:firstColumn="1" w:firstRow="1" w:lastColumn="0" w:lastRow="0" w:noHBand="0" w:noVBand="1" w:val="04A0"/>
        <w:tblInd w:w="120" w:type="dxa"/>
      </w:tblPr>
      <w:tblGrid>
        <w:gridCol w:w="1700"/>
        <w:gridCol w:w="1600"/>
        <w:gridCol w:w="2600"/>
        <w:gridCol w:w="1900"/>
        <w:gridCol w:w="1560"/>
      </w:tblGrid>
      <w:tr>
        <w:tc>
          <w:tcPr>
            <w:tcW w:type="dxa" w:w="1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Naam</w:t>
            </w:r>
          </w:p>
        </w:tc>
        <w:tc>
          <w:tcPr>
            <w:tcW w:type="dxa" w:w="16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Functie</w:t>
            </w:r>
          </w:p>
        </w:tc>
        <w:tc>
          <w:tcPr>
            <w:tcW w:type="dxa" w:w="26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Google-e-mail</w:t>
            </w:r>
          </w:p>
        </w:tc>
        <w:tc>
          <w:tcPr>
            <w:tcW w:type="dxa" w:w="19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Geautoriseerd door</w:t>
            </w:r>
          </w:p>
        </w:tc>
        <w:tc>
          <w:tcPr>
            <w:tcW w:type="dxa" w:w="15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Vanaf/tot</w:t>
            </w:r>
          </w:p>
        </w:tc>
      </w:tr>
      <w:tr>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5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c>
          <w:tcPr>
            <w:tcW w:type="dxa" w:w="1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bl>
    <w:p>
      <w:pPr>
        <w:spacing w:after="20"/>
      </w:pPr>
    </w:p>
    <w:p>
      <w:pPr>
        <w:pStyle w:val="Heading1"/>
      </w:pPr>
      <w:r>
        <w:t>3. Sessieregels</w:t>
      </w:r>
    </w:p>
    <w:p>
      <w:pPr>
        <w:pStyle w:val="ListBullet"/>
        <w:spacing w:after="80"/>
        <w:ind w:left="720" w:hanging="360"/>
      </w:pPr>
      <w:r>
        <w:rPr>
          <w:rFonts w:ascii="Calibri" w:hAnsi="Calibri"/>
          <w:color w:val="17221D"/>
        </w:rPr>
        <w:t>Standaard automatische logout na 20 minuten inactiviteit.</w:t>
      </w:r>
    </w:p>
    <w:p>
      <w:pPr>
        <w:pStyle w:val="ListBullet"/>
        <w:spacing w:after="80"/>
        <w:ind w:left="720" w:hanging="360"/>
      </w:pPr>
      <w:r>
        <w:rPr>
          <w:rFonts w:ascii="Calibri" w:hAnsi="Calibri"/>
          <w:color w:val="17221D"/>
        </w:rPr>
        <w:t>Maximale serversessieduur acht uur.</w:t>
      </w:r>
    </w:p>
    <w:p>
      <w:pPr>
        <w:pStyle w:val="ListBullet"/>
        <w:spacing w:after="80"/>
        <w:ind w:left="720" w:hanging="360"/>
      </w:pPr>
      <w:r>
        <w:rPr>
          <w:rFonts w:ascii="Calibri" w:hAnsi="Calibri"/>
          <w:color w:val="17221D"/>
        </w:rPr>
        <w:t>Gebruiker logt handmatig uit bij afronding of overdracht van het apparaat.</w:t>
      </w:r>
    </w:p>
    <w:p>
      <w:pPr>
        <w:pStyle w:val="ListBullet"/>
        <w:spacing w:after="80"/>
        <w:ind w:left="720" w:hanging="360"/>
      </w:pPr>
      <w:r>
        <w:rPr>
          <w:rFonts w:ascii="Calibri" w:hAnsi="Calibri"/>
          <w:color w:val="17221D"/>
        </w:rPr>
        <w:t>Geen gedeelde browserprofielen of gedeelde Google-accounts.</w:t>
      </w:r>
    </w:p>
    <w:p>
      <w:pPr>
        <w:pStyle w:val="ListBullet"/>
        <w:spacing w:after="80"/>
        <w:ind w:left="720" w:hanging="360"/>
      </w:pPr>
      <w:r>
        <w:rPr>
          <w:rFonts w:ascii="Calibri" w:hAnsi="Calibri"/>
          <w:color w:val="17221D"/>
        </w:rPr>
        <w:t>Bij verlies of vermoeden van misbruik wordt toegang direct ingetrokken.</w:t>
      </w:r>
    </w:p>
    <w:p>
      <w:pPr>
        <w:pStyle w:val="Heading1"/>
      </w:pPr>
      <w:r>
        <w:t>4. Verklaring vertrouwd apparaat</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Het apparaat is door de praktijk toegestaan voor verwerking van gezondheidsgegevens.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Opslagversleuteling en een ondersteund, bijgewerkt besturingssysteem zijn actief.</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Het apparaat heeft een eigen passende automatische schermvergrendeling.</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Het apparaat wordt niet onbeheerd ontgrendeld achtergelaten.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Alleen bevoegde personen hebben toegang tot het gebruikersprofiel.</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Downloads worden alleen gemaakt als dit noodzakelijk is en daarna volgens praktijkbeleid verwijderd.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gebruiker begrijpt dat aanvinken de eigen verantwoordelijkheid en die van de praktijk niet opheft.</w:t>
            </w:r>
          </w:p>
        </w:tc>
      </w:tr>
    </w:tbl>
    <w:p>
      <w:pPr>
        <w:spacing w:after="20"/>
      </w:pPr>
    </w:p>
    <w:p>
      <w:pPr>
        <w:pStyle w:val="Heading1"/>
      </w:pPr>
      <w:r>
        <w:t>5. Afmelding en controle</w:t>
      </w:r>
    </w:p>
    <w:p>
      <w:r>
        <w:rPr>
          <w:rFonts w:ascii="Calibri" w:hAnsi="Calibri"/>
          <w:color w:val="17221D"/>
        </w:rPr>
        <w:t>De praktijk controleert de gebruikerslijst minimaal jaarlijks en direct bij functiewijziging of vertrek. Wijzigingen worden gemeld aan Marinus den Breejen. De praktijk bewaart bewijs van autorisatie en instructie; ZorgTekstAI bewaart geen patiëntinhoud om bevoegdheid achteraf te reconstrueren.</w:t>
      </w: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vragen over NEN 7510</w:t>
        </w:r>
      </w:hyperlink>
    </w:p>
    <w:p>
      <w:pPr>
        <w:pStyle w:val="ListBullet"/>
        <w:ind w:left="720" w:hanging="360"/>
      </w:pPr>
      <w:hyperlink r:id="rId14">
        <w:r>
          <w:rPr>
            <w:color w:val="1155CC"/>
            <w:u w:val="single"/>
          </w:rPr>
          <w:t>Google Privacy Policy</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Lokale rollen, sessies en vertrouwde apparaten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vraag-en-antwoord/vragen-over-nen-7510" TargetMode="External"/><Relationship Id="rId14" Type="http://schemas.openxmlformats.org/officeDocument/2006/relationships/hyperlink" Target="https://policies.google.com/priv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