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Lokale incident- en contactgegevens</w:t>
      </w:r>
    </w:p>
    <w:p>
      <w:pPr>
        <w:spacing w:after="280"/>
      </w:pPr>
      <w:r>
        <w:rPr>
          <w:rFonts w:ascii="Calibri" w:hAnsi="Calibri"/>
          <w:color w:val="5C6A63"/>
          <w:sz w:val="25"/>
        </w:rPr>
        <w:t>Aansluiting van ZorgTekstAI op de praktijkprocedure</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09</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Lokale meldroute en verantwoordelijkheden vastleggen</w:t>
            </w:r>
          </w:p>
        </w:tc>
      </w:tr>
    </w:tbl>
    <w:p>
      <w:pPr>
        <w:spacing w:after="20"/>
      </w:pPr>
    </w:p>
    <w:p>
      <w:pPr>
        <w:pStyle w:val="Heading1"/>
      </w:pPr>
      <w:r>
        <w:t>1. Contactmatrix</w:t>
      </w:r>
    </w:p>
    <w:tbl>
      <w:tblPr>
        <w:tblW w:type="dxa" w:w="9360"/>
        <w:jc w:val="left"/>
        <w:tblLayout w:type="fixed"/>
        <w:tblLook w:firstColumn="1" w:firstRow="1" w:lastColumn="0" w:lastRow="0" w:noHBand="0" w:noVBand="1" w:val="04A0"/>
        <w:tblInd w:w="120" w:type="dxa"/>
      </w:tblPr>
      <w:tblGrid>
        <w:gridCol w:w="2000"/>
        <w:gridCol w:w="1900"/>
        <w:gridCol w:w="3000"/>
        <w:gridCol w:w="2460"/>
      </w:tblGrid>
      <w:tr>
        <w:tc>
          <w:tcPr>
            <w:tcW w:type="dxa" w:w="20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Rol</w:t>
            </w:r>
          </w:p>
        </w:tc>
        <w:tc>
          <w:tcPr>
            <w:tcW w:type="dxa" w:w="19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Naam</w:t>
            </w:r>
          </w:p>
        </w:tc>
        <w:tc>
          <w:tcPr>
            <w:tcW w:type="dxa" w:w="30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E-mail/telefoon</w:t>
            </w:r>
          </w:p>
        </w:tc>
        <w:tc>
          <w:tcPr>
            <w:tcW w:type="dxa" w:w="24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Beschikbaarheid</w:t>
            </w:r>
          </w:p>
        </w:tc>
      </w:tr>
      <w:tr>
        <w:tc>
          <w:tcPr>
            <w:tcW w:type="dxa" w:w="2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Bestuurder</w:t>
            </w:r>
          </w:p>
        </w:tc>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3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24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20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Privacy/FG</w:t>
            </w:r>
          </w:p>
        </w:tc>
        <w:tc>
          <w:tcPr>
            <w:tcW w:type="dxa" w:w="19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30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24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2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Informatiebeveiliging</w:t>
            </w:r>
          </w:p>
        </w:tc>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3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24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20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Zorginhoudelijke escalatie</w:t>
            </w:r>
          </w:p>
        </w:tc>
        <w:tc>
          <w:tcPr>
            <w:tcW w:type="dxa" w:w="19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30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24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2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Technisch beheer</w:t>
            </w:r>
          </w:p>
        </w:tc>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Marinus den Breejen</w:t>
            </w:r>
          </w:p>
        </w:tc>
        <w:tc>
          <w:tcPr>
            <w:tcW w:type="dxa" w:w="3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marinusdenbreejen@gmail.com</w:t>
            </w:r>
          </w:p>
        </w:tc>
        <w:tc>
          <w:tcPr>
            <w:tcW w:type="dxa" w:w="24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Redelijke inspanning / geen 24/7-SLA</w:t>
            </w:r>
          </w:p>
        </w:tc>
      </w:tr>
    </w:tbl>
    <w:p>
      <w:pPr>
        <w:spacing w:after="20"/>
      </w:pPr>
    </w:p>
    <w:p>
      <w:pPr>
        <w:pStyle w:val="Heading1"/>
      </w:pPr>
      <w:r>
        <w:t>2. Lokale meldafspraak</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Direct melden</w:t>
            </w:r>
          </w:p>
          <w:p>
            <w:pPr>
              <w:spacing w:after="0"/>
            </w:pPr>
            <w:r>
              <w:rPr>
                <w:rFonts w:ascii="Calibri" w:hAnsi="Calibri"/>
                <w:color w:val="17221D"/>
                <w:sz w:val="19"/>
              </w:rPr>
              <w:t>Een vermoeden van een privacy-, beveiligings- of patiëntveiligheidsincident wordt onmiddellijk, bij voorkeur binnen vier uur, intern gemeld en indien technisch relevant ook aan Marinus den Breejen. Stuur geen patiëntinhoud via onbeveiligde e-mail.</w:t>
            </w:r>
          </w:p>
        </w:tc>
      </w:tr>
    </w:tbl>
    <w:p>
      <w:pPr>
        <w:spacing w:after="20"/>
      </w:pPr>
    </w:p>
    <w:p>
      <w:pPr>
        <w:pStyle w:val="Heading1"/>
      </w:pPr>
      <w:r>
        <w:t>3. Verantwoordelijkheden</w:t>
      </w:r>
    </w:p>
    <w:p>
      <w:pPr>
        <w:pStyle w:val="ListBullet"/>
        <w:spacing w:after="80"/>
        <w:ind w:left="720" w:hanging="360"/>
      </w:pPr>
      <w:r>
        <w:rPr>
          <w:rFonts w:ascii="Calibri" w:hAnsi="Calibri"/>
          <w:color w:val="17221D"/>
        </w:rPr>
        <w:t>De praktijk beslist als verwerkingsverantwoordelijke over melding aan AP en betrokkenen.</w:t>
      </w:r>
    </w:p>
    <w:p>
      <w:pPr>
        <w:pStyle w:val="ListBullet"/>
        <w:spacing w:after="80"/>
        <w:ind w:left="720" w:hanging="360"/>
      </w:pPr>
      <w:r>
        <w:rPr>
          <w:rFonts w:ascii="Calibri" w:hAnsi="Calibri"/>
          <w:color w:val="17221D"/>
        </w:rPr>
        <w:t>Marinus onderzoekt technische oorzaken en informeert de praktijk zonder onredelijke vertraging.</w:t>
      </w:r>
    </w:p>
    <w:p>
      <w:pPr>
        <w:pStyle w:val="ListBullet"/>
        <w:spacing w:after="80"/>
        <w:ind w:left="720" w:hanging="360"/>
      </w:pPr>
      <w:r>
        <w:rPr>
          <w:rFonts w:ascii="Calibri" w:hAnsi="Calibri"/>
          <w:color w:val="17221D"/>
        </w:rPr>
        <w:t>De behandelaar corrigeert zo nodig het medisch dossier en beoordeelt patiëntveiligheidsgevolgen.</w:t>
      </w:r>
    </w:p>
    <w:p>
      <w:pPr>
        <w:pStyle w:val="ListBullet"/>
        <w:spacing w:after="80"/>
        <w:ind w:left="720" w:hanging="360"/>
      </w:pPr>
      <w:r>
        <w:rPr>
          <w:rFonts w:ascii="Calibri" w:hAnsi="Calibri"/>
          <w:color w:val="17221D"/>
        </w:rPr>
        <w:t>De praktijk bewaart patiëntgebonden incidentinformatie in het passende beveiligde systeem.</w:t>
      </w:r>
    </w:p>
    <w:p>
      <w:pPr>
        <w:pStyle w:val="ListBullet"/>
        <w:spacing w:after="80"/>
        <w:ind w:left="720" w:hanging="360"/>
      </w:pPr>
      <w:r>
        <w:rPr>
          <w:rFonts w:ascii="Calibri" w:hAnsi="Calibri"/>
          <w:color w:val="17221D"/>
        </w:rPr>
        <w:t>De centrale audit en supportmelding bevatten geen medische inhoud.</w:t>
      </w:r>
    </w:p>
    <w:p>
      <w:pPr>
        <w:pStyle w:val="Heading1"/>
      </w:pPr>
      <w:r>
        <w:t>4. Escalatiecriteria</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Persoonsgegevens zijn mogelijk naar Brave of een onbevoegde ontvanger gegaan.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Een account, sessie of API-sleutel is mogelijk misbruikt.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Onjuiste AI-output is in het dossier of patiëntcommunicatie terechtgekomen.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Audio is zonder toestemming opgenomen, verkeerd gedownload of niet verwijderd.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Scaleway meldt uitzonderlijke inhoudsopslag of een beveiligingsincident.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Dezelfde fout kan andere praktijken of patiënten raken.</w:t>
            </w:r>
          </w:p>
        </w:tc>
      </w:tr>
    </w:tbl>
    <w:p>
      <w:pPr>
        <w:spacing w:after="20"/>
      </w:pPr>
    </w:p>
    <w:p>
      <w:pPr>
        <w:pStyle w:val="Heading1"/>
      </w:pPr>
      <w:r>
        <w:t>5. Lokale aansluiting</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Referentie bestaand datalekbeleid</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[[DOCUMENTNAAM/VERSIE]]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Referentie incidentregister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[[LOCATIE]]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Referentie klachtenprocedure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[[DOCUMENTNAAM/VERSIE]]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AP-meldbevoegde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[[NAAM/FUNCTIE]]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Vervanger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[[NAAM/FUNCTIE]]</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EDPB-richtsnoeren melding inbreuken persoonsgegevens (via AP)</w:t>
        </w:r>
      </w:hyperlink>
    </w:p>
    <w:p>
      <w:pPr>
        <w:pStyle w:val="ListBullet"/>
        <w:ind w:left="720" w:hanging="360"/>
      </w:pPr>
      <w:hyperlink r:id="rId14">
        <w:r>
          <w:rPr>
            <w:color w:val="1155CC"/>
            <w:u w:val="single"/>
          </w:rPr>
          <w:t>IGJ - zorgvuldig omgaan met generatieve AI in de zorg</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Lokale incident- en contactgegevens</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autoriteitpersoonsgegevens.nl/uploads/2023-07/edpb_guidelines_012021_pdbnotification_adopted_nl.pdf" TargetMode="External"/><Relationship Id="rId14" Type="http://schemas.openxmlformats.org/officeDocument/2006/relationships/hyperlink" Target="https://www.igj.nl/documenten/2025/02/10/igj-roept-zorgaanbieders-op-ga-zorgvuldig-om-met-invoering-van-generatieve-ai-toepassing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