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Implementatie-, risicoacceptatie- en akkoordverklaring</w:t>
      </w:r>
    </w:p>
    <w:p>
      <w:pPr>
        <w:spacing w:after="280"/>
      </w:pPr>
      <w:r>
        <w:rPr>
          <w:rFonts w:ascii="Calibri" w:hAnsi="Calibri"/>
          <w:color w:val="5C6A63"/>
          <w:sz w:val="25"/>
        </w:rPr>
        <w:t>Formeel besluit vóór ingebruikname van ZorgTekstAI</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Dossierstatus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Bijlage bij het 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Deze bijlage hoort bij het Hoofddocument praktijkdossier ZorgTekstAI. De term 'de Praktijk' verwijst naar de praktijk die eenmaal in het hoofddocument is ingevuld. De bijlage wordt niet afzonderlijk ondertekend, maar gezamenlijk vastgesteld door ondertekening van het hoofddocument.</w:t>
            </w:r>
          </w:p>
        </w:tc>
      </w:tr>
    </w:tbl>
    <w:p>
      <w:pPr>
        <w:spacing w:after="20"/>
      </w:pPr>
    </w:p>
    <w:p>
      <w:pPr>
        <w:pStyle w:val="Heading1"/>
      </w:pPr>
      <w:r>
        <w:t>Positie in het praktijkdossier</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Bijlage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10</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Hoofddocument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Van toepassing op</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 zoals eenmaal geïdentificeerd in het hoofddocument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Doel 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Alle voorwaarden controleren en het restrisico aanvaarden</w:t>
            </w:r>
          </w:p>
        </w:tc>
      </w:tr>
    </w:tbl>
    <w:p>
      <w:pPr>
        <w:spacing w:after="20"/>
      </w:pPr>
    </w:p>
    <w:p>
      <w:pPr>
        <w:pStyle w:val="Heading1"/>
      </w:pPr>
      <w:r>
        <w:t>1. Verklaringen bestuurder</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praktijk bepaalt doelen en middelen van de zorginhoud en is verwerkingsverantwoordelijke.</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Het hoofddocument inclusief bijlage 11 met verwerkersvoorwaarden is ondertekend.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DPIA en risicoanalyse zijn afgerond en goedgekeurd.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ZorgTekstAI staat in de lijst met toegestane applicaties.</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privacyinformatie is aangepast.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Gebruikers zijn bevoegd, geïnstrueerd en opgenomen in de allowlist.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toepassing wordt alleen gebruikt voor administratieve ondersteuning en informatievoorziening.</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Iedere uitkomst blijft AI-concept en wordt professioneel gecontroleerd.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Internetzoeken wordt nooit met persoonsgegevens gebruikt.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Audio wordt alleen na toestemming opgenomen en zo snel mogelijk verwijderd.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Downloads en vertrouwde apparaten vallen onder het lokale beveiligingsbeleid.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Incidenten worden volgens de lokale en centrale procedure gemeld.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bestuurder accepteert de vastgelegde restrisico's.</w:t>
            </w:r>
          </w:p>
        </w:tc>
      </w:tr>
    </w:tbl>
    <w:p>
      <w:pPr>
        <w:spacing w:after="20"/>
      </w:pPr>
    </w:p>
    <w:p>
      <w:pPr>
        <w:pStyle w:val="Heading1"/>
      </w:pPr>
      <w:r>
        <w:t>2. Belangrijkste restrisico's</w:t>
      </w:r>
    </w:p>
    <w:tbl>
      <w:tblPr>
        <w:tblW w:type="dxa" w:w="9360"/>
        <w:jc w:val="left"/>
        <w:tblLayout w:type="fixed"/>
        <w:tblLook w:firstColumn="1" w:firstRow="1" w:lastColumn="0" w:lastRow="0" w:noHBand="0" w:noVBand="1" w:val="04A0"/>
        <w:tblInd w:w="120" w:type="dxa"/>
      </w:tblPr>
      <w:tblGrid>
        <w:gridCol w:w="4700"/>
        <w:gridCol w:w="4660"/>
      </w:tblGrid>
      <w:tr>
        <w:tc>
          <w:tcPr>
            <w:tcW w:type="dxa" w:w="470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Restrisico</w:t>
            </w:r>
          </w:p>
        </w:tc>
        <w:tc>
          <w:tcPr>
            <w:tcW w:type="dxa" w:w="4660"/>
            <w:vAlign w:val="center"/>
            <w:tcMar>
              <w:top w:w="100" w:type="dxa"/>
              <w:start w:w="120" w:type="dxa"/>
              <w:bottom w:w="100" w:type="dxa"/>
              <w:end w:w="120" w:type="dxa"/>
            </w:tcMar>
            <w:shd w:fill="0B5D3B"/>
            <w:tcBorders>
              <w:top w:val="single" w:sz="4" w:space="0" w:color="D7DED9"/>
              <w:start w:val="single" w:sz="4" w:space="0" w:color="D7DED9"/>
              <w:bottom w:val="single" w:sz="4" w:space="0" w:color="D7DED9"/>
              <w:end w:val="single" w:sz="4" w:space="0" w:color="D7DED9"/>
            </w:tcBorders>
          </w:tcPr>
          <w:p>
            <w:r>
              <w:rPr>
                <w:rFonts w:ascii="Calibri" w:hAnsi="Calibri"/>
                <w:b/>
                <w:color w:val="FFFFFF"/>
                <w:sz w:val="17"/>
              </w:rPr>
              <w:t>Acceptatie/motivering</w:t>
            </w:r>
          </w:p>
        </w:tc>
      </w:tr>
      <w:tr>
        <w:tc>
          <w:tcPr>
            <w:tcW w:type="dxa" w:w="4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Generatieve AI kan onjuiste of ontbrekende informatie produceren.</w:t>
            </w:r>
          </w:p>
        </w:tc>
        <w:tc>
          <w:tcPr>
            <w:tcW w:type="dxa" w:w="4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r>
      <w:tr>
        <w:tc>
          <w:tcPr>
            <w:tcW w:type="dxa" w:w="4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Scaleway kan bij specifieke fouten de volledige request maximaal twee weken bewaren.</w:t>
            </w:r>
          </w:p>
        </w:tc>
        <w:tc>
          <w:tcPr>
            <w:tcW w:type="dxa" w:w="46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r>
      <w:tr>
        <w:tc>
          <w:tcPr>
            <w:tcW w:type="dxa" w:w="4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Gebruikers kunnen ondanks waarschuwingen persoonsgegevens in een internetzoekvraag plaatsen.</w:t>
            </w:r>
          </w:p>
        </w:tc>
        <w:tc>
          <w:tcPr>
            <w:tcW w:type="dxa" w:w="4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r>
      <w:tr>
        <w:tc>
          <w:tcPr>
            <w:tcW w:type="dxa" w:w="4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Een gedownload bestand valt buiten de verwijdermogelijkheden van ZorgTekstAI.</w:t>
            </w:r>
          </w:p>
        </w:tc>
        <w:tc>
          <w:tcPr>
            <w:tcW w:type="dxa" w:w="46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r>
      <w:tr>
        <w:tc>
          <w:tcPr>
            <w:tcW w:type="dxa" w:w="470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Persoonlijke Google-accounts kennen geen centraal praktijk-offboardingbeleid.</w:t>
            </w:r>
          </w:p>
        </w:tc>
        <w:tc>
          <w:tcPr>
            <w:tcW w:type="dxa" w:w="4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r>
      <w:tr>
        <w:tc>
          <w:tcPr>
            <w:tcW w:type="dxa" w:w="470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De toepassing is een MVP zonder betaalde SLA of 24/7-ondersteuning.</w:t>
            </w:r>
          </w:p>
        </w:tc>
        <w:tc>
          <w:tcPr>
            <w:tcW w:type="dxa" w:w="4660"/>
            <w:vAlign w:val="center"/>
            <w:tcMar>
              <w:top w:w="100" w:type="dxa"/>
              <w:start w:w="120" w:type="dxa"/>
              <w:bottom w:w="100" w:type="dxa"/>
              <w:end w:w="120" w:type="dxa"/>
            </w:tcMar>
            <w:shd w:fill="F2F4F3"/>
            <w:tcBorders>
              <w:top w:val="single" w:sz="4" w:space="0" w:color="D7DED9"/>
              <w:start w:val="single" w:sz="4" w:space="0" w:color="D7DED9"/>
              <w:bottom w:val="single" w:sz="4" w:space="0" w:color="D7DED9"/>
              <w:end w:val="single" w:sz="4" w:space="0" w:color="D7DED9"/>
            </w:tcBorders>
          </w:tcPr>
          <w:p>
            <w:pPr>
              <w:spacing w:after="20"/>
            </w:pPr>
            <w:r>
              <w:rPr>
                <w:rFonts w:ascii="Calibri" w:hAnsi="Calibri"/>
                <w:color w:val="17221D"/>
                <w:sz w:val="17"/>
              </w:rPr>
              <w:t>[[INVULLEN]]</w:t>
            </w:r>
          </w:p>
        </w:tc>
      </w:tr>
    </w:tbl>
    <w:p>
      <w:pPr>
        <w:spacing w:after="20"/>
      </w:pPr>
    </w:p>
    <w:p>
      <w:pPr>
        <w:pStyle w:val="Heading1"/>
      </w:pPr>
      <w:r>
        <w:t>3. Go-live besluit</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Besluit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 akkoord  ☐ akkoord onder voorwaarden  ☐ niet akkoord</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Voorwaarden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Go-live datum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Toegestane gebruikers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[[VERWIJS NAAR DOCUMENT 07]]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Evaluatiedatum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[[UITERLIJK 1 JAAR NA GO-LIVE]]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Besluit bij materiële wijziging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Nieuwe beoordeling vóór ingebruikname</w:t>
            </w:r>
          </w:p>
        </w:tc>
      </w:tr>
    </w:tbl>
    <w:p>
      <w:pPr>
        <w:spacing w:after="20"/>
      </w:pP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Algemene verordening gegevensbescherming (AVG)</w:t>
        </w:r>
      </w:hyperlink>
    </w:p>
    <w:p>
      <w:pPr>
        <w:pStyle w:val="ListBullet"/>
        <w:ind w:left="720" w:hanging="360"/>
      </w:pPr>
      <w:hyperlink r:id="rId13">
        <w:r>
          <w:rPr>
            <w:color w:val="1155CC"/>
            <w:u w:val="single"/>
          </w:rPr>
          <w:t>IGJ - zorgvuldig omgaan met generatieve AI in de zorg</w:t>
        </w:r>
      </w:hyperlink>
    </w:p>
    <w:p>
      <w:pPr>
        <w:pStyle w:val="ListBullet"/>
        <w:ind w:left="720" w:hanging="360"/>
      </w:pPr>
      <w:hyperlink r:id="rId14">
        <w:r>
          <w:rPr>
            <w:color w:val="1155CC"/>
            <w:u w:val="single"/>
          </w:rPr>
          <w:t>IGJ - vragen over NEN 7510</w:t>
        </w:r>
      </w:hyperlink>
    </w:p>
    <w:p>
      <w:pPr>
        <w:pStyle w:val="ListBullet"/>
        <w:ind w:left="720" w:hanging="360"/>
      </w:pPr>
      <w:hyperlink r:id="rId15">
        <w:r>
          <w:rPr>
            <w:color w:val="1155CC"/>
            <w:u w:val="single"/>
          </w:rPr>
          <w:t>Europese Commissie - AI-geletterdheid</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Implementatie-, risicoacceptatie- en akkoordverklaring</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eur-lex.europa.eu/eli/reg/2016/679/oj" TargetMode="External"/><Relationship Id="rId13" Type="http://schemas.openxmlformats.org/officeDocument/2006/relationships/hyperlink" Target="https://www.igj.nl/documenten/2025/02/10/igj-roept-zorgaanbieders-op-ga-zorgvuldig-om-met-invoering-van-generatieve-ai-toepassingen" TargetMode="External"/><Relationship Id="rId14" Type="http://schemas.openxmlformats.org/officeDocument/2006/relationships/hyperlink" Target="https://www.igj.nl/vraag-en-antwoord/vragen-over-nen-7510" TargetMode="External"/><Relationship Id="rId15" Type="http://schemas.openxmlformats.org/officeDocument/2006/relationships/hyperlink" Target="https://digital-strategy.ec.europa.eu/en/faqs/ai-literacy-questions-answe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