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Verwerkersvoorwaarden ZorgTekstAI</w:t>
      </w:r>
    </w:p>
    <w:p>
      <w:pPr>
        <w:spacing w:after="280"/>
      </w:pPr>
      <w:r>
        <w:rPr>
          <w:rFonts w:ascii="Calibri" w:hAnsi="Calibri"/>
          <w:color w:val="5C6A63"/>
          <w:sz w:val="25"/>
        </w:rPr>
        <w:t>Bijlage bij de overeenkomst tussen de Praktijk en Marinus den Breejen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en 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11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AVG-verwerkersafspraken vastleggen</w:t>
            </w:r>
          </w:p>
        </w:tc>
      </w:tr>
    </w:tbl>
    <w:p>
      <w:pPr>
        <w:spacing w:after="20"/>
      </w:pPr>
    </w:p>
    <w:p>
      <w:pPr>
        <w:pStyle w:val="Heading1"/>
      </w:pPr>
      <w:r>
        <w:t>Partijen</w:t>
      </w:r>
    </w:p>
    <w:p>
      <w:r>
        <w:rPr>
          <w:rFonts w:ascii="Calibri" w:hAnsi="Calibri"/>
          <w:color w:val="17221D"/>
        </w:rPr>
        <w:t>1. de Praktijk zoals eenmaal geïdentificeerd en vertegenwoordigd in het hoofddocument, hierna: Verwerkingsverantwoordelijke;</w:t>
      </w:r>
    </w:p>
    <w:p>
      <w:r>
        <w:rPr>
          <w:rFonts w:ascii="Calibri" w:hAnsi="Calibri"/>
          <w:color w:val="17221D"/>
        </w:rPr>
        <w:t>2. Marinus den Breejen, wonende aan Koninginneweg 71a, 3261 CB Oud-Beijerland, bereikbaar via marinusdenbreejen@gmail.com, hierna: Verwerker.</w:t>
      </w:r>
    </w:p>
    <w:p>
      <w:r>
        <w:rPr>
          <w:rFonts w:ascii="Calibri" w:hAnsi="Calibri"/>
          <w:color w:val="17221D"/>
        </w:rPr>
        <w:t>Partijen komen deze verwerkersovereenkomst overeen voor het gebruik van ZorgTekstAI. De dienst wordt op dit moment zonder afzonderlijke vergoeding aangeboden; dit verandert de AVG-verplichtingen niet.</w:t>
      </w:r>
    </w:p>
    <w:p>
      <w:pPr>
        <w:pStyle w:val="Heading1"/>
      </w:pPr>
      <w:r>
        <w:t>Artikel 1. Onderwerp en duur</w:t>
      </w:r>
    </w:p>
    <w:p>
      <w:r>
        <w:rPr>
          <w:rFonts w:ascii="Calibri" w:hAnsi="Calibri"/>
          <w:color w:val="17221D"/>
        </w:rPr>
        <w:t>Verwerker stelt ZorgTekstAI technisch beschikbaar en verwerkt persoonsgegevens uitsluitend voor de uitvoering van gedocumenteerde instructies van Verwerkingsverantwoordelijke. Deze overeenkomst geldt vanaf [[INGANGSDATUM]] zolang de praktijk toegang heeft en daarna voor zover verplichtingen naar hun aard voortduren.</w:t>
      </w:r>
    </w:p>
    <w:p>
      <w:pPr>
        <w:pStyle w:val="Heading1"/>
      </w:pPr>
      <w:r>
        <w:t>Artikel 2. Aard en doel</w:t>
      </w:r>
    </w:p>
    <w:p>
      <w:pPr>
        <w:pStyle w:val="ListBullet"/>
        <w:spacing w:after="80"/>
        <w:ind w:left="720" w:hanging="360"/>
      </w:pPr>
      <w:r>
        <w:rPr>
          <w:rFonts w:ascii="Calibri" w:hAnsi="Calibri"/>
          <w:color w:val="17221D"/>
        </w:rPr>
        <w:t>Tijdelijk ontvangen, doorgeven en verwerken van tekst, documenten en audio voor AI-ondersteunde conceptvorming.</w:t>
      </w:r>
    </w:p>
    <w:p>
      <w:pPr>
        <w:pStyle w:val="ListBullet"/>
        <w:spacing w:after="80"/>
        <w:ind w:left="720" w:hanging="360"/>
      </w:pPr>
      <w:r>
        <w:rPr>
          <w:rFonts w:ascii="Calibri" w:hAnsi="Calibri"/>
          <w:color w:val="17221D"/>
        </w:rPr>
        <w:t>Authenticatie, toegangsbeveiliging, gebruikslimieten en inhoudsvrije beveiligingsaudit.</w:t>
      </w:r>
    </w:p>
    <w:p>
      <w:pPr>
        <w:pStyle w:val="ListBullet"/>
        <w:spacing w:after="80"/>
        <w:ind w:left="720" w:hanging="360"/>
      </w:pPr>
      <w:r>
        <w:rPr>
          <w:rFonts w:ascii="Calibri" w:hAnsi="Calibri"/>
          <w:color w:val="17221D"/>
        </w:rPr>
        <w:t>Geen eigen zorginhoudelijk doel van Verwerker.</w:t>
      </w:r>
    </w:p>
    <w:p>
      <w:pPr>
        <w:pStyle w:val="ListBullet"/>
        <w:spacing w:after="80"/>
        <w:ind w:left="720" w:hanging="360"/>
      </w:pPr>
      <w:r>
        <w:rPr>
          <w:rFonts w:ascii="Calibri" w:hAnsi="Calibri"/>
          <w:color w:val="17221D"/>
        </w:rPr>
        <w:t>Geen reguliere opslag van patiëntinhoud door ZorgTekstAI.</w:t>
      </w:r>
    </w:p>
    <w:p>
      <w:pPr>
        <w:pStyle w:val="ListBullet"/>
        <w:spacing w:after="80"/>
        <w:ind w:left="720" w:hanging="360"/>
      </w:pPr>
      <w:r>
        <w:rPr>
          <w:rFonts w:ascii="Calibri" w:hAnsi="Calibri"/>
          <w:color w:val="17221D"/>
        </w:rPr>
        <w:t>Geen verkoop, training of hergebruik van patiëntinhoud.</w:t>
      </w:r>
    </w:p>
    <w:p>
      <w:pPr>
        <w:pStyle w:val="Heading1"/>
      </w:pPr>
      <w:r>
        <w:t>Artikel 3. Categorieën gegevens en betrokkenen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Betrokkenen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Patiënten/cliënten, zorgprofessionals en geautoriseerde gebruikers.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Persoonsgegevens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 indien noodzakelijk, correspondentie en accountmetadata.</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Bijzondere gegevens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Gezondheid, diagnose, medicatie, psychische toestand, medische correspondentie en audio.</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Duur inhoudsverwerking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Tijdelijk tijdens de aanvraag, behoudens gedocumenteerde uitzonderingen van subverwerker.</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Persistente metadata</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Gehasht gebruikers-ID, gebeurtenis, tijd en beperkte technische metadata; max. 180 dagen.</w:t>
            </w:r>
          </w:p>
        </w:tc>
      </w:tr>
    </w:tbl>
    <w:p>
      <w:pPr>
        <w:spacing w:after="20"/>
      </w:pPr>
    </w:p>
    <w:p>
      <w:pPr>
        <w:pStyle w:val="Heading1"/>
      </w:pPr>
      <w:r>
        <w:t>Artikel 4. Instructies en verantwoordelijkheden</w:t>
      </w:r>
    </w:p>
    <w:p>
      <w:r>
        <w:rPr>
          <w:rFonts w:ascii="Calibri" w:hAnsi="Calibri"/>
          <w:color w:val="17221D"/>
        </w:rPr>
        <w:t>Verwerker verwerkt alleen op gedocumenteerde instructie, waaronder deze overeenkomst, de praktijkconfiguratie en opdrachten van geautoriseerde gebruikers. Verwerkingsverantwoordelijke is verantwoordelijk voor grondslag, informatieplicht, noodzakelijkheid, beroepsgeheim, gebruikers, dossierregels, toestemming voor audio en het verbod op persoonsgegevens bij internetzoeken.</w:t>
      </w:r>
    </w:p>
    <w:p>
      <w:r>
        <w:rPr>
          <w:rFonts w:ascii="Calibri" w:hAnsi="Calibri"/>
          <w:color w:val="17221D"/>
        </w:rPr>
        <w:t>Als een instructie volgens Verwerker in strijd is met privacywetgeving, informeert Verwerker de praktijk voordat hij de instructie uitvoert, tenzij de wet dit verbiedt.</w:t>
      </w:r>
    </w:p>
    <w:p>
      <w:pPr>
        <w:pStyle w:val="Heading1"/>
      </w:pPr>
      <w:r>
        <w:t>Artikel 5. Vertrouwelijkheid en toegang</w:t>
      </w:r>
    </w:p>
    <w:p>
      <w:r>
        <w:rPr>
          <w:rFonts w:ascii="Calibri" w:hAnsi="Calibri"/>
          <w:color w:val="17221D"/>
        </w:rPr>
        <w:t>Verwerker waarborgt dat personen die onder zijn gezag persoonsgegevens verwerken gebonden zijn aan vertrouwelijkheid en uitsluitend noodzakelijke toegang hebben. Marinus den Breejen heeft geen reguliere applicatiefunctie om documenten, prompts, antwoorden, audio of transcripties te bekijken.</w:t>
      </w:r>
    </w:p>
    <w:p>
      <w:pPr>
        <w:pStyle w:val="Heading1"/>
      </w:pPr>
      <w:r>
        <w:t>Artikel 6. Beveiliging</w:t>
      </w:r>
    </w:p>
    <w:p>
      <w:pPr>
        <w:pStyle w:val="ListBullet"/>
        <w:spacing w:after="80"/>
        <w:ind w:left="720" w:hanging="360"/>
      </w:pPr>
      <w:r>
        <w:rPr>
          <w:rFonts w:ascii="Calibri" w:hAnsi="Calibri"/>
          <w:color w:val="17221D"/>
        </w:rPr>
        <w:t>Versleutelde HTTPS-verbindingen.</w:t>
      </w:r>
    </w:p>
    <w:p>
      <w:pPr>
        <w:pStyle w:val="ListBullet"/>
        <w:spacing w:after="80"/>
        <w:ind w:left="720" w:hanging="360"/>
      </w:pPr>
      <w:r>
        <w:rPr>
          <w:rFonts w:ascii="Calibri" w:hAnsi="Calibri"/>
          <w:color w:val="17221D"/>
        </w:rPr>
        <w:t>Scaleway-regio's Amsterdam en Parijs voor de kernverwerking.</w:t>
      </w:r>
    </w:p>
    <w:p>
      <w:pPr>
        <w:pStyle w:val="ListBullet"/>
        <w:spacing w:after="80"/>
        <w:ind w:left="720" w:hanging="360"/>
      </w:pPr>
      <w:r>
        <w:rPr>
          <w:rFonts w:ascii="Calibri" w:hAnsi="Calibri"/>
          <w:color w:val="17221D"/>
        </w:rPr>
        <w:t>Beperkte API-sleutels en IAM-rechten.</w:t>
      </w:r>
    </w:p>
    <w:p>
      <w:pPr>
        <w:pStyle w:val="ListBullet"/>
        <w:spacing w:after="80"/>
        <w:ind w:left="720" w:hanging="360"/>
      </w:pPr>
      <w:r>
        <w:rPr>
          <w:rFonts w:ascii="Calibri" w:hAnsi="Calibri"/>
          <w:color w:val="17221D"/>
        </w:rPr>
        <w:t>Google-authenticatie met server-side allowlist.</w:t>
      </w:r>
    </w:p>
    <w:p>
      <w:pPr>
        <w:pStyle w:val="ListBullet"/>
        <w:spacing w:after="80"/>
        <w:ind w:left="720" w:hanging="360"/>
      </w:pPr>
      <w:r>
        <w:rPr>
          <w:rFonts w:ascii="Calibri" w:hAnsi="Calibri"/>
          <w:color w:val="17221D"/>
        </w:rPr>
        <w:t>Ondertekende HttpOnly/Secure-sessiecookies en CSRF-bescherming.</w:t>
      </w:r>
    </w:p>
    <w:p>
      <w:pPr>
        <w:pStyle w:val="ListBullet"/>
        <w:spacing w:after="80"/>
        <w:ind w:left="720" w:hanging="360"/>
      </w:pPr>
      <w:r>
        <w:rPr>
          <w:rFonts w:ascii="Calibri" w:hAnsi="Calibri"/>
          <w:color w:val="17221D"/>
        </w:rPr>
        <w:t>Idle-time-out en maximale sessieduur.</w:t>
      </w:r>
    </w:p>
    <w:p>
      <w:pPr>
        <w:pStyle w:val="ListBullet"/>
        <w:spacing w:after="80"/>
        <w:ind w:left="720" w:hanging="360"/>
      </w:pPr>
      <w:r>
        <w:rPr>
          <w:rFonts w:ascii="Calibri" w:hAnsi="Calibri"/>
          <w:color w:val="17221D"/>
        </w:rPr>
        <w:t>Limieten op omvang, duur en gebruik.</w:t>
      </w:r>
    </w:p>
    <w:p>
      <w:pPr>
        <w:pStyle w:val="ListBullet"/>
        <w:spacing w:after="80"/>
        <w:ind w:left="720" w:hanging="360"/>
      </w:pPr>
      <w:r>
        <w:rPr>
          <w:rFonts w:ascii="Calibri" w:hAnsi="Calibri"/>
          <w:color w:val="17221D"/>
        </w:rPr>
        <w:t>Versleutelde Object Storage voor toegestane configuratie en metadata.</w:t>
      </w:r>
    </w:p>
    <w:p>
      <w:pPr>
        <w:pStyle w:val="ListBullet"/>
        <w:spacing w:after="80"/>
        <w:ind w:left="720" w:hanging="360"/>
      </w:pPr>
      <w:r>
        <w:rPr>
          <w:rFonts w:ascii="Calibri" w:hAnsi="Calibri"/>
          <w:color w:val="17221D"/>
        </w:rPr>
        <w:t>Geen patiëntinhoud in applicatielogs, audit, templates of bronnenlijsten.</w:t>
      </w:r>
    </w:p>
    <w:p>
      <w:pPr>
        <w:pStyle w:val="ListBullet"/>
        <w:spacing w:after="80"/>
        <w:ind w:left="720" w:hanging="360"/>
      </w:pPr>
      <w:r>
        <w:rPr>
          <w:rFonts w:ascii="Calibri" w:hAnsi="Calibri"/>
          <w:color w:val="17221D"/>
        </w:rPr>
        <w:t>Jaarlijkse leveranciers- en beveiligingsevaluatie.</w:t>
      </w:r>
    </w:p>
    <w:p>
      <w:pPr>
        <w:pStyle w:val="Heading1"/>
      </w:pPr>
      <w:r>
        <w:t>Artikel 7. Subverwerkers</w:t>
      </w:r>
    </w:p>
    <w:p>
      <w:r>
        <w:rPr>
          <w:rFonts w:ascii="Calibri" w:hAnsi="Calibri"/>
          <w:color w:val="17221D"/>
        </w:rPr>
        <w:t>Verwerkingsverantwoordelijke geeft algemene toestemming voor Scaleway SAS als subverwerker voor Serverless Containers, Generative APIs en Object Storage. Verwerker houdt de actuele keten bij en informeert de praktijk over materiële wijzigingen zodra hij daarvan kennis heeft en voor zover redelijk vóór de wijziging effect heeft.</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Scaleway SAS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Hosting Amsterdam, AI-verwerking Parijs en Object Storage Amsterdam.</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Google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Authenticatiedienst; ontvangt geen zorginhoud via ZorgTekstAI en kan voor deze gegevens als zelfstandige partij optreden.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Brave Search</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Geen subverwerker voor patiëntinhoud; uitsluitend algemene zoektermen zonder persoonsgegevens na opt-in.</w:t>
            </w:r>
          </w:p>
        </w:tc>
      </w:tr>
    </w:tbl>
    <w:p>
      <w:pPr>
        <w:spacing w:after="20"/>
      </w:pPr>
    </w:p>
    <w:p>
      <w:pPr>
        <w:pStyle w:val="Heading1"/>
      </w:pPr>
      <w:r>
        <w:t>Artikel 8. Doorgifte en locatie</w:t>
      </w:r>
    </w:p>
    <w:p>
      <w:r>
        <w:rPr>
          <w:rFonts w:ascii="Calibri" w:hAnsi="Calibri"/>
          <w:color w:val="17221D"/>
        </w:rPr>
        <w:t>De kernverwerking van zorginhoud is ingericht binnen de EU. Verwerker wijzigt deze route niet materieel zonder beoordeling en informatie aan de praktijk. Google-authenticatiemetadata is niet als uitsluitend Europees gegarandeerd. Brave valt buiten de EU-only route en mag daarom geen persoonsgegevens ontvangen.</w:t>
      </w:r>
    </w:p>
    <w:p>
      <w:pPr>
        <w:pStyle w:val="Heading1"/>
      </w:pPr>
      <w:r>
        <w:t>Artikel 9. Inbreuken en incidenten</w:t>
      </w:r>
    </w:p>
    <w:p>
      <w:r>
        <w:rPr>
          <w:rFonts w:ascii="Calibri" w:hAnsi="Calibri"/>
          <w:color w:val="17221D"/>
        </w:rPr>
        <w:t>Verwerker informeert Verwerkingsverantwoordelijke zonder onredelijke vertraging over een bevestigde of redelijk vermoede inbreuk die de praktijkgegevens raakt, en verstrekt beschikbare informatie over aard, betrokken gegevens, gevolgen en maatregelen. De praktijk beslist over melding aan AP en betrokkenen.</w:t>
      </w:r>
    </w:p>
    <w:p>
      <w:pPr>
        <w:pStyle w:val="Heading1"/>
      </w:pPr>
      <w:r>
        <w:t>Artikel 10. Bijstand</w:t>
      </w:r>
    </w:p>
    <w:p>
      <w:r>
        <w:rPr>
          <w:rFonts w:ascii="Calibri" w:hAnsi="Calibri"/>
          <w:color w:val="17221D"/>
        </w:rPr>
        <w:t>Verwerker verleent redelijke bijstand bij verzoeken van betrokkenen, DPIA, beveiligingsbeoordeling, incidentonderzoek en toezicht, rekening houdend met de aard van de verwerking en beschikbare informatie. Verwerker antwoordt niet zelfstandig op patiëntverzoeken over dossierinhoud.</w:t>
      </w:r>
    </w:p>
    <w:p>
      <w:pPr>
        <w:pStyle w:val="Heading1"/>
      </w:pPr>
      <w:r>
        <w:t>Artikel 11. Bewaren, verwijderen en einde</w:t>
      </w:r>
    </w:p>
    <w:p>
      <w:pPr>
        <w:pStyle w:val="ListBullet"/>
        <w:spacing w:after="80"/>
        <w:ind w:left="720" w:hanging="360"/>
      </w:pPr>
      <w:r>
        <w:rPr>
          <w:rFonts w:ascii="Calibri" w:hAnsi="Calibri"/>
          <w:color w:val="17221D"/>
        </w:rPr>
        <w:t>ZorgTekstAI bewaart patiëntinhoud niet regulier.</w:t>
      </w:r>
    </w:p>
    <w:p>
      <w:pPr>
        <w:pStyle w:val="ListBullet"/>
        <w:spacing w:after="80"/>
        <w:ind w:left="720" w:hanging="360"/>
      </w:pPr>
      <w:r>
        <w:rPr>
          <w:rFonts w:ascii="Calibri" w:hAnsi="Calibri"/>
          <w:color w:val="17221D"/>
        </w:rPr>
        <w:t>Scaleway kan volgens zijn documentatie bij specifieke fouten of vermoed misbruik een volledige HTTP-request maximaal twee weken bewaren.</w:t>
      </w:r>
    </w:p>
    <w:p>
      <w:pPr>
        <w:pStyle w:val="ListBullet"/>
        <w:spacing w:after="80"/>
        <w:ind w:left="720" w:hanging="360"/>
      </w:pPr>
      <w:r>
        <w:rPr>
          <w:rFonts w:ascii="Calibri" w:hAnsi="Calibri"/>
          <w:color w:val="17221D"/>
        </w:rPr>
        <w:t>Inhoudsvrije auditmetadata wordt maximaal 180 dagen bewaard.</w:t>
      </w:r>
    </w:p>
    <w:p>
      <w:pPr>
        <w:pStyle w:val="ListBullet"/>
        <w:spacing w:after="80"/>
        <w:ind w:left="720" w:hanging="360"/>
      </w:pPr>
      <w:r>
        <w:rPr>
          <w:rFonts w:ascii="Calibri" w:hAnsi="Calibri"/>
          <w:color w:val="17221D"/>
        </w:rPr>
        <w:t>Bij beëindiging wordt praktijktoegang ingetrokken en worden praktijkgebonden configuratiegegevens verwijderd of teruggegeven voor zover technisch en contractueel mogelijk.</w:t>
      </w:r>
    </w:p>
    <w:p>
      <w:pPr>
        <w:pStyle w:val="ListBullet"/>
        <w:spacing w:after="80"/>
        <w:ind w:left="720" w:hanging="360"/>
      </w:pPr>
      <w:r>
        <w:rPr>
          <w:rFonts w:ascii="Calibri" w:hAnsi="Calibri"/>
          <w:color w:val="17221D"/>
        </w:rPr>
        <w:t>Wettelijke of leverancierstechnische bewaartermijnen blijven van toepassing voor zover verwijdering niet direct mogelijk is.</w:t>
      </w:r>
    </w:p>
    <w:p>
      <w:pPr>
        <w:pStyle w:val="Heading1"/>
      </w:pPr>
      <w:r>
        <w:t>Artikel 12. Informatie en controle</w:t>
      </w:r>
    </w:p>
    <w:p>
      <w:r>
        <w:rPr>
          <w:rFonts w:ascii="Calibri" w:hAnsi="Calibri"/>
          <w:color w:val="17221D"/>
        </w:rPr>
        <w:t>Verwerker stelt redelijke informatie beschikbaar om naleving aan te tonen, waaronder deze documentset, architectuurinformatie, testresultaten en relevante leverancierstukken. Controle vindt eerst documentair plaats en vervolgens, indien redelijk noodzakelijk, op afspraak en zonder beveiliging of andere praktijken te schaden.</w:t>
      </w:r>
    </w:p>
    <w:p>
      <w:pPr>
        <w:pStyle w:val="Heading1"/>
      </w:pPr>
      <w:r>
        <w:t>Artikel 13. Aansprakelijkheid en gratis karakter</w:t>
      </w:r>
    </w:p>
    <w:p>
      <w:r>
        <w:rPr>
          <w:rFonts w:ascii="Calibri" w:hAnsi="Calibri"/>
          <w:color w:val="17221D"/>
        </w:rPr>
        <w:t>Partijen blijven ieder verantwoordelijk voor hun eigen AVG-verplichtingen en handelen. Het kosteloze, experimentele karakter en ontbreken van een betaalde SLA worden door de praktijk meegewogen in de risicoacceptatie. Deze bepaling beperkt geen dwingendrechtelijke aansprakelijkheid.</w:t>
      </w:r>
    </w:p>
    <w:p>
      <w:pPr>
        <w:pStyle w:val="Heading1"/>
      </w:pPr>
      <w:r>
        <w:t>Artikel 14. Wijziging en beëindiging</w:t>
      </w:r>
    </w:p>
    <w:p>
      <w:r>
        <w:rPr>
          <w:rFonts w:ascii="Calibri" w:hAnsi="Calibri"/>
          <w:color w:val="17221D"/>
        </w:rPr>
        <w:t>Materiële wijzigingen worden schriftelijk vastgelegd. Iedere partij kan de verwerking beëindigen door toegang in te trekken, onverminderd noodzakelijke incident- en verwijderingsverplichtingen.</w:t>
      </w:r>
    </w:p>
    <w:p>
      <w:pPr>
        <w:pStyle w:val="Heading1"/>
      </w:pPr>
      <w:r>
        <w:t>Bijlage A. Instructies</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Toegestane doelen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Transcriptie, samenvatting, conceptverslag, conceptcorrespondentie en algemene informatie.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Verboden doelen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Autonome diagnose, triage, voorschrijven, behandeladvies of besluitvorming.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Internetzoeken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Alleen zonder persoonsgegevens en na expliciete bevestiging.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Audio</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Alleen na informatie en toestemming van alle aanwezigen.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Alleen gecontroleerde, noodzakelijke output wordt door de professional overgenomen.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Aanvullende praktijkinstructies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bl>
    <w:p>
      <w:pPr>
        <w:spacing w:after="20"/>
      </w:pPr>
    </w:p>
    <w:p>
      <w:pPr>
        <w:pStyle w:val="Heading1"/>
      </w:pPr>
      <w:r>
        <w:t>Bijlage B. Subverwerker en diensten</w:t>
      </w:r>
    </w:p>
    <w:tbl>
      <w:tblPr>
        <w:tblW w:type="dxa" w:w="9360"/>
        <w:jc w:val="left"/>
        <w:tblLayout w:type="fixed"/>
        <w:tblLook w:firstColumn="1" w:firstRow="1" w:lastColumn="0" w:lastRow="0" w:noHBand="0" w:noVBand="1" w:val="04A0"/>
        <w:tblInd w:w="120" w:type="dxa"/>
      </w:tblPr>
      <w:tblGrid>
        <w:gridCol w:w="2400"/>
        <w:gridCol w:w="2700"/>
        <w:gridCol w:w="1700"/>
        <w:gridCol w:w="2560"/>
      </w:tblGrid>
      <w:tr>
        <w:tc>
          <w:tcPr>
            <w:tcW w:type="dxa" w:w="24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Dienst</w:t>
            </w:r>
          </w:p>
        </w:tc>
        <w:tc>
          <w:tcPr>
            <w:tcW w:type="dxa" w:w="2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Doel</w:t>
            </w:r>
          </w:p>
        </w:tc>
        <w:tc>
          <w:tcPr>
            <w:tcW w:type="dxa" w:w="1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Locatie</w:t>
            </w:r>
          </w:p>
        </w:tc>
        <w:tc>
          <w:tcPr>
            <w:tcW w:type="dxa" w:w="25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Inhoudsretentie</w:t>
            </w:r>
          </w:p>
        </w:tc>
      </w:tr>
      <w:tr>
        <w:tc>
          <w:tcPr>
            <w:tcW w:type="dxa" w:w="2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Serverless Containers</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Webapp en tijdelijke verwerking</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Amsterdam</w:t>
            </w:r>
          </w:p>
        </w:tc>
        <w:tc>
          <w:tcPr>
            <w:tcW w:type="dxa" w:w="25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Ephemeral/tijdelijk; geen applicatie-inhoudsopslag</w:t>
            </w:r>
          </w:p>
        </w:tc>
      </w:tr>
      <w:tr>
        <w:tc>
          <w:tcPr>
            <w:tcW w:type="dxa" w:w="2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Generative APIs</w:t>
            </w:r>
          </w:p>
        </w:tc>
        <w:tc>
          <w:tcPr>
            <w:tcW w:type="dxa" w:w="2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Tekst- en audio-inference</w:t>
            </w:r>
          </w:p>
        </w:tc>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Parijs</w:t>
            </w:r>
          </w:p>
        </w:tc>
        <w:tc>
          <w:tcPr>
            <w:tcW w:type="dxa" w:w="25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Standaard Zero Data Retention; uitzonderlijke request max. 2 weken</w:t>
            </w:r>
          </w:p>
        </w:tc>
      </w:tr>
      <w:tr>
        <w:tc>
          <w:tcPr>
            <w:tcW w:type="dxa" w:w="2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Object Storage</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Templates, bronnen, tellers en auditmetadata</w:t>
            </w:r>
          </w:p>
        </w:tc>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Amsterdam</w:t>
            </w:r>
          </w:p>
        </w:tc>
        <w:tc>
          <w:tcPr>
            <w:tcW w:type="dxa" w:w="25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Volgens beleid; audit max. 180 dagen</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Scaleway Data Processing Agreement</w:t>
        </w:r>
      </w:hyperlink>
    </w:p>
    <w:p>
      <w:pPr>
        <w:pStyle w:val="ListBullet"/>
        <w:ind w:left="720" w:hanging="360"/>
      </w:pPr>
      <w:hyperlink r:id="rId14">
        <w:r>
          <w:rPr>
            <w:color w:val="1155CC"/>
            <w:u w:val="single"/>
          </w:rPr>
          <w:t>Scaleway - contracten en voorwaarden</w:t>
        </w:r>
      </w:hyperlink>
    </w:p>
    <w:p>
      <w:pPr>
        <w:pStyle w:val="ListBullet"/>
        <w:ind w:left="720" w:hanging="360"/>
      </w:pPr>
      <w:hyperlink r:id="rId15">
        <w:r>
          <w:rPr>
            <w:color w:val="1155CC"/>
            <w:u w:val="single"/>
          </w:rPr>
          <w:t>Scaleway - technische en organisatorische maatregelen</w:t>
        </w:r>
      </w:hyperlink>
    </w:p>
    <w:p>
      <w:pPr>
        <w:pStyle w:val="ListBullet"/>
        <w:ind w:left="720" w:hanging="360"/>
      </w:pPr>
      <w:hyperlink r:id="rId16">
        <w:r>
          <w:rPr>
            <w:color w:val="1155CC"/>
            <w:u w:val="single"/>
          </w:rPr>
          <w:t>Scaleway Trust Center - ISO-certificaat en auditbewijs</w:t>
        </w:r>
      </w:hyperlink>
    </w:p>
    <w:p>
      <w:pPr>
        <w:pStyle w:val="ListBullet"/>
        <w:ind w:left="720" w:hanging="360"/>
      </w:pPr>
      <w:hyperlink r:id="rId17">
        <w:r>
          <w:rPr>
            <w:color w:val="1155CC"/>
            <w:u w:val="single"/>
          </w:rPr>
          <w:t>Scaleway Generative APIs - gegevensbescherming</w:t>
        </w:r>
      </w:hyperlink>
    </w:p>
    <w:p>
      <w:pPr>
        <w:pStyle w:val="ListBullet"/>
        <w:ind w:left="720" w:hanging="360"/>
      </w:pPr>
      <w:hyperlink r:id="rId18">
        <w:r>
          <w:rPr>
            <w:color w:val="1155CC"/>
            <w:u w:val="single"/>
          </w:rPr>
          <w:t>Scaleway Generative APIs FAQ - locatie inference</w:t>
        </w:r>
      </w:hyperlink>
    </w:p>
    <w:p>
      <w:pPr>
        <w:pStyle w:val="ListBullet"/>
        <w:ind w:left="720" w:hanging="360"/>
      </w:pPr>
      <w:hyperlink r:id="rId19">
        <w:r>
          <w:rPr>
            <w:color w:val="1155CC"/>
            <w:u w:val="single"/>
          </w:rPr>
          <w:t>Scaleway - lijst van subverwerkers</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Verwerkersvoorwaarden ZorgTekstAI</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uploads.scaleway.com/DPA_2024_ENG_b0abb5cc26.pdf" TargetMode="External"/><Relationship Id="rId14" Type="http://schemas.openxmlformats.org/officeDocument/2006/relationships/hyperlink" Target="https://www.scaleway.com/en/contracts/" TargetMode="External"/><Relationship Id="rId15" Type="http://schemas.openxmlformats.org/officeDocument/2006/relationships/hyperlink" Target="https://www-uploads.scaleway.com/Technical_and_Organizational_Measures_v17072024_a74508104e.pdf" TargetMode="External"/><Relationship Id="rId16" Type="http://schemas.openxmlformats.org/officeDocument/2006/relationships/hyperlink" Target="https://security.scaleway.com/?itemUid=1fed9faa-4a87-427c-9a95-96b4d6bf66b7" TargetMode="External"/><Relationship Id="rId17" Type="http://schemas.openxmlformats.org/officeDocument/2006/relationships/hyperlink" Target="https://www.scaleway.com/en/docs/generative-apis/reference-content/data-privacy/" TargetMode="External"/><Relationship Id="rId18" Type="http://schemas.openxmlformats.org/officeDocument/2006/relationships/hyperlink" Target="https://www.scaleway.com/en/docs/generative-apis/faq/" TargetMode="External"/><Relationship Id="rId19" Type="http://schemas.openxmlformats.org/officeDocument/2006/relationships/hyperlink" Target="https://www.scaleway.com/en/subprocessor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